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jpeg" ContentType="image/jpeg"/>
  <Override PartName="/word/media/image5.jpeg" ContentType="image/jpeg"/>
  <Override PartName="/word/media/image6.png" ContentType="image/png"/>
  <Override PartName="/word/media/image7.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9070" w:type="dxa"/>
        <w:jc w:val="left"/>
        <w:tblInd w:w="0" w:type="dxa"/>
        <w:tblCellMar>
          <w:top w:w="0" w:type="dxa"/>
          <w:left w:w="108" w:type="dxa"/>
          <w:bottom w:w="0" w:type="dxa"/>
          <w:right w:w="108" w:type="dxa"/>
        </w:tblCellMar>
        <w:tblLook w:val="04a0" w:noHBand="0" w:noVBand="1" w:firstColumn="1" w:lastRow="0" w:lastColumn="0" w:firstRow="1"/>
      </w:tblPr>
      <w:tblGrid>
        <w:gridCol w:w="3807"/>
        <w:gridCol w:w="5262"/>
      </w:tblGrid>
      <w:tr>
        <w:trPr/>
        <w:tc>
          <w:tcPr>
            <w:tcW w:w="3807" w:type="dxa"/>
            <w:tcBorders>
              <w:top w:val="nil"/>
              <w:left w:val="nil"/>
              <w:bottom w:val="nil"/>
              <w:right w:val="nil"/>
            </w:tcBorders>
          </w:tcPr>
          <w:p>
            <w:pPr>
              <w:pStyle w:val="Normal"/>
              <w:jc w:val="center"/>
              <w:rPr>
                <w:rFonts w:ascii="Arial" w:hAnsi="Arial" w:eastAsia="Arial" w:cs="Arial" w:eastAsiaTheme="minorEastAsia"/>
                <w:b/>
                <w:b/>
                <w:bCs/>
                <w:color w:val="000000"/>
                <w:sz w:val="28"/>
                <w:szCs w:val="28"/>
                <w:lang w:eastAsia="fr-FR"/>
              </w:rPr>
            </w:pPr>
            <w:r>
              <w:rPr/>
              <w:drawing>
                <wp:inline distT="0" distB="0" distL="0" distR="0">
                  <wp:extent cx="1834515" cy="383540"/>
                  <wp:effectExtent l="0" t="0" r="0" b="0"/>
                  <wp:docPr id="1" name="Image 2" descr="Macintosh HD:Users:nathaliefabry:Documents:2 - Administration:LOGOS et supports visuels:PACK LOGO UGE:1 LOGO COULEUR:WEB:logo_univ_gustave_eiffel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Macintosh HD:Users:nathaliefabry:Documents:2 - Administration:LOGOS et supports visuels:PACK LOGO UGE:1 LOGO COULEUR:WEB:logo_univ_gustave_eiffel_rvb.png"/>
                          <pic:cNvPicPr>
                            <a:picLocks noChangeAspect="1" noChangeArrowheads="1"/>
                          </pic:cNvPicPr>
                        </pic:nvPicPr>
                        <pic:blipFill>
                          <a:blip r:embed="rId2"/>
                          <a:stretch>
                            <a:fillRect/>
                          </a:stretch>
                        </pic:blipFill>
                        <pic:spPr bwMode="auto">
                          <a:xfrm>
                            <a:off x="0" y="0"/>
                            <a:ext cx="1834515" cy="383540"/>
                          </a:xfrm>
                          <a:prstGeom prst="rect">
                            <a:avLst/>
                          </a:prstGeom>
                        </pic:spPr>
                      </pic:pic>
                    </a:graphicData>
                  </a:graphic>
                </wp:inline>
              </w:drawing>
            </w:r>
          </w:p>
        </w:tc>
        <w:tc>
          <w:tcPr>
            <w:tcW w:w="5262" w:type="dxa"/>
            <w:tcBorders>
              <w:top w:val="nil"/>
              <w:left w:val="nil"/>
              <w:bottom w:val="nil"/>
              <w:right w:val="nil"/>
            </w:tcBorders>
          </w:tcPr>
          <w:p>
            <w:pPr>
              <w:pStyle w:val="Normal"/>
              <w:jc w:val="center"/>
              <w:rPr>
                <w:rFonts w:ascii="Arial" w:hAnsi="Arial" w:eastAsia="Arial" w:cs="Arial" w:eastAsiaTheme="minorEastAsia"/>
                <w:b/>
                <w:b/>
                <w:bCs/>
                <w:color w:val="000000"/>
                <w:sz w:val="28"/>
                <w:szCs w:val="28"/>
                <w:lang w:eastAsia="fr-FR"/>
              </w:rPr>
            </w:pPr>
            <w:r>
              <w:rPr/>
              <w:drawing>
                <wp:inline distT="0" distB="0" distL="0" distR="0">
                  <wp:extent cx="3204210" cy="559435"/>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3204210" cy="559435"/>
                          </a:xfrm>
                          <a:prstGeom prst="rect">
                            <a:avLst/>
                          </a:prstGeom>
                        </pic:spPr>
                      </pic:pic>
                    </a:graphicData>
                  </a:graphic>
                </wp:inline>
              </w:drawing>
            </w:r>
          </w:p>
        </w:tc>
      </w:tr>
    </w:tbl>
    <w:p>
      <w:pPr>
        <w:pStyle w:val="Normal"/>
        <w:jc w:val="center"/>
        <w:rPr>
          <w:rFonts w:ascii="Arial" w:hAnsi="Arial" w:eastAsia="Arial" w:cs="Arial" w:eastAsiaTheme="minorEastAsia"/>
          <w:b/>
          <w:b/>
          <w:bCs/>
          <w:color w:val="000000"/>
          <w:sz w:val="28"/>
          <w:szCs w:val="28"/>
          <w:lang w:eastAsia="fr-FR"/>
        </w:rPr>
      </w:pPr>
      <w:r>
        <w:rPr>
          <w:rFonts w:eastAsia="Arial" w:cs="Arial" w:eastAsiaTheme="minorEastAsia" w:ascii="Arial" w:hAnsi="Arial"/>
          <w:b/>
          <w:bCs/>
          <w:color w:val="000000"/>
          <w:sz w:val="28"/>
          <w:szCs w:val="28"/>
          <w:lang w:eastAsia="fr-FR"/>
        </w:rPr>
      </w:r>
    </w:p>
    <w:p>
      <w:pPr>
        <w:pStyle w:val="Normal"/>
        <w:jc w:val="center"/>
        <w:rPr>
          <w:rFonts w:ascii="Arial" w:hAnsi="Arial" w:eastAsia="Arial" w:cs="Arial" w:eastAsiaTheme="minorEastAsia"/>
          <w:b/>
          <w:b/>
          <w:bCs/>
          <w:color w:val="000000"/>
          <w:sz w:val="28"/>
          <w:szCs w:val="28"/>
          <w:lang w:eastAsia="fr-FR"/>
        </w:rPr>
      </w:pPr>
      <w:r>
        <w:rPr>
          <w:rFonts w:eastAsia="Arial" w:cs="Arial" w:eastAsiaTheme="minorEastAsia" w:ascii="Arial" w:hAnsi="Arial"/>
          <w:b/>
          <w:bCs/>
          <w:color w:val="000000"/>
          <w:sz w:val="28"/>
          <w:szCs w:val="28"/>
          <w:lang w:eastAsia="fr-FR"/>
        </w:rPr>
      </w:r>
    </w:p>
    <w:p>
      <w:pPr>
        <w:pStyle w:val="Normal"/>
        <w:jc w:val="center"/>
        <w:rPr>
          <w:rFonts w:ascii="Arial" w:hAnsi="Arial" w:eastAsia="Arial" w:cs="Arial" w:eastAsiaTheme="minorEastAsia"/>
          <w:b/>
          <w:b/>
          <w:bCs/>
          <w:color w:val="000000"/>
          <w:sz w:val="28"/>
          <w:szCs w:val="28"/>
          <w:lang w:eastAsia="fr-FR"/>
        </w:rPr>
      </w:pPr>
      <w:r>
        <w:rPr>
          <w:rFonts w:eastAsia="Arial" w:cs="Arial" w:eastAsiaTheme="minorEastAsia" w:ascii="Arial" w:hAnsi="Arial"/>
          <w:b/>
          <w:bCs/>
          <w:color w:val="000000"/>
          <w:sz w:val="28"/>
          <w:szCs w:val="28"/>
          <w:lang w:eastAsia="fr-FR"/>
        </w:rPr>
      </w:r>
    </w:p>
    <w:p>
      <w:pPr>
        <w:pStyle w:val="Normal"/>
        <w:jc w:val="center"/>
        <w:rPr>
          <w:rFonts w:ascii="Arial" w:hAnsi="Arial"/>
        </w:rPr>
      </w:pPr>
      <w:r>
        <w:rPr>
          <w:rFonts w:eastAsia="Arial" w:cs="Arial" w:ascii="Arial" w:hAnsi="Arial" w:eastAsiaTheme="minorEastAsia"/>
          <w:b/>
          <w:bCs/>
          <w:color w:val="000000"/>
          <w:sz w:val="28"/>
          <w:szCs w:val="28"/>
          <w:lang w:eastAsia="fr-FR"/>
        </w:rPr>
        <w:t>Colloque “Territoire(s) &amp; Sécurité(s)”</w:t>
      </w:r>
    </w:p>
    <w:p>
      <w:pPr>
        <w:pStyle w:val="Normal"/>
        <w:jc w:val="left"/>
        <w:rPr>
          <w:rFonts w:ascii="Arial" w:hAnsi="Arial" w:eastAsia="Times New Roman" w:cs="Times New Roman"/>
          <w:color w:val="000000"/>
          <w:sz w:val="20"/>
          <w:szCs w:val="20"/>
          <w:lang w:eastAsia="fr-FR"/>
        </w:rPr>
      </w:pPr>
      <w:r>
        <w:rPr>
          <w:rFonts w:eastAsia="Times New Roman" w:cs="Times New Roman" w:ascii="Arial" w:hAnsi="Arial"/>
          <w:color w:val="000000"/>
          <w:sz w:val="20"/>
          <w:szCs w:val="20"/>
          <w:lang w:eastAsia="fr-FR"/>
        </w:rPr>
      </w:r>
    </w:p>
    <w:p>
      <w:pPr>
        <w:pStyle w:val="Normal"/>
        <w:jc w:val="center"/>
        <w:rPr>
          <w:rFonts w:ascii="Arial" w:hAnsi="Arial" w:eastAsia="Arial" w:cs="Arial"/>
          <w:b/>
          <w:b/>
          <w:bCs/>
        </w:rPr>
      </w:pPr>
      <w:r>
        <w:rPr>
          <w:rFonts w:eastAsia="Arial" w:cs="Times New Roman" w:ascii="Arial" w:hAnsi="Arial" w:eastAsiaTheme="minorEastAsia"/>
          <w:b/>
          <w:bCs/>
          <w:color w:val="000000"/>
          <w:sz w:val="24"/>
          <w:szCs w:val="24"/>
          <w:shd w:fill="FDFDFD" w:val="clear"/>
          <w:lang w:eastAsia="fr-FR"/>
        </w:rPr>
        <w:t>6 avril</w:t>
      </w:r>
      <w:r>
        <w:rPr>
          <w:rFonts w:eastAsia="Arial" w:cs="Times New Roman" w:ascii="Arial" w:hAnsi="Arial" w:eastAsiaTheme="minorEastAsia"/>
          <w:b/>
          <w:bCs/>
          <w:color w:val="000000"/>
          <w:sz w:val="24"/>
          <w:szCs w:val="24"/>
          <w:lang w:eastAsia="fr-FR"/>
        </w:rPr>
        <w:t xml:space="preserve"> 2023, </w:t>
      </w:r>
      <w:r>
        <w:rPr>
          <w:rFonts w:eastAsia="Arial" w:cs="Arial" w:ascii="Arial" w:hAnsi="Arial"/>
        </w:rPr>
        <w:t>Aix-en-Provence</w:t>
      </w:r>
    </w:p>
    <w:p>
      <w:pPr>
        <w:pStyle w:val="Normal"/>
        <w:spacing w:before="0" w:after="240"/>
        <w:jc w:val="center"/>
        <w:rPr>
          <w:rFonts w:ascii="Arial" w:hAnsi="Arial" w:eastAsia="Times New Roman" w:cs="Times New Roman"/>
          <w:color w:val="000000"/>
          <w:lang w:eastAsia="fr-FR"/>
        </w:rPr>
      </w:pPr>
      <w:r>
        <w:rPr>
          <w:rFonts w:eastAsia="Arial" w:cs="Arial" w:ascii="Arial" w:hAnsi="Arial" w:eastAsiaTheme="minorEastAsia"/>
          <w:color w:val="222222"/>
          <w:shd w:fill="FFFFFF" w:val="clear"/>
          <w:lang w:eastAsia="fr-FR"/>
        </w:rPr>
        <w:t>Format hybride présentiel et visio (sur inscription)</w:t>
      </w:r>
    </w:p>
    <w:p>
      <w:pPr>
        <w:pStyle w:val="Normal"/>
        <w:jc w:val="center"/>
        <w:rPr/>
      </w:pPr>
      <w:hyperlink r:id="rId4" w:tgtFrame="https://cts-2021.sciencesconf.org/">
        <w:r>
          <w:rPr>
            <w:rStyle w:val="LienInternet"/>
            <w:rFonts w:eastAsia="Arial" w:ascii="Arial" w:hAnsi="Arial" w:eastAsiaTheme="minorEastAsia"/>
          </w:rPr>
          <w:t>https://cts-2021.sciencesconf.org/</w:t>
        </w:r>
      </w:hyperlink>
      <w:r>
        <w:rPr>
          <w:rFonts w:eastAsia="Arial" w:ascii="Arial" w:hAnsi="Arial" w:eastAsiaTheme="minorEastAsia"/>
        </w:rPr>
        <w:t xml:space="preserve"> </w:t>
      </w:r>
    </w:p>
    <w:p>
      <w:pPr>
        <w:pStyle w:val="Normal"/>
        <w:spacing w:before="0" w:after="240"/>
        <w:jc w:val="left"/>
        <w:rPr>
          <w:rFonts w:ascii="Arial" w:hAnsi="Arial" w:eastAsia="Times New Roman" w:cs="Times New Roman"/>
          <w:color w:val="000000"/>
          <w:sz w:val="20"/>
          <w:szCs w:val="20"/>
          <w:lang w:eastAsia="fr-FR"/>
        </w:rPr>
      </w:pPr>
      <w:r>
        <w:rPr>
          <w:rFonts w:eastAsia="Times New Roman" w:cs="Times New Roman" w:ascii="Arial" w:hAnsi="Arial"/>
          <w:color w:val="000000"/>
          <w:sz w:val="20"/>
          <w:szCs w:val="20"/>
          <w:lang w:eastAsia="fr-FR"/>
        </w:rPr>
      </w:r>
    </w:p>
    <w:p>
      <w:pPr>
        <w:pStyle w:val="Normal"/>
        <w:spacing w:before="0" w:after="240"/>
        <w:jc w:val="left"/>
        <w:rPr>
          <w:rFonts w:ascii="Arial" w:hAnsi="Arial" w:eastAsia="Times New Roman" w:cs="Times New Roman"/>
          <w:color w:val="000000"/>
          <w:sz w:val="20"/>
          <w:szCs w:val="20"/>
          <w:lang w:eastAsia="fr-FR"/>
        </w:rPr>
      </w:pPr>
      <w:r>
        <w:rPr>
          <w:rFonts w:eastAsia="Times New Roman" w:cs="Times New Roman" w:ascii="Arial" w:hAnsi="Arial"/>
          <w:color w:val="000000"/>
          <w:sz w:val="20"/>
          <w:szCs w:val="20"/>
          <w:lang w:eastAsia="fr-FR"/>
        </w:rPr>
      </w:r>
    </w:p>
    <w:p>
      <w:pPr>
        <w:pStyle w:val="Normal"/>
        <w:jc w:val="center"/>
        <w:rPr>
          <w:rFonts w:ascii="Arial" w:hAnsi="Arial"/>
        </w:rPr>
      </w:pPr>
      <w:r>
        <w:rPr>
          <w:rFonts w:eastAsia="Arial" w:cs="Arial" w:ascii="Arial" w:hAnsi="Arial" w:eastAsiaTheme="minorEastAsia"/>
          <w:b/>
          <w:bCs/>
          <w:color w:val="000000"/>
          <w:sz w:val="24"/>
          <w:szCs w:val="24"/>
          <w:lang w:eastAsia="fr-FR"/>
        </w:rPr>
        <w:t>Appel à communications</w:t>
      </w:r>
    </w:p>
    <w:p>
      <w:pPr>
        <w:pStyle w:val="Normal"/>
        <w:rPr>
          <w:rFonts w:ascii="Arial" w:hAnsi="Arial" w:eastAsia="Arial" w:cs="Arial" w:eastAsiaTheme="minorEastAsia"/>
          <w:color w:val="000000"/>
          <w:lang w:eastAsia="fr-FR"/>
        </w:rPr>
      </w:pPr>
      <w:r>
        <w:rPr>
          <w:rFonts w:eastAsia="Arial" w:cs="Arial" w:eastAsiaTheme="minorEastAsia" w:ascii="Arial" w:hAnsi="Arial"/>
          <w:color w:val="000000"/>
          <w:lang w:eastAsia="fr-FR"/>
        </w:rPr>
      </w:r>
    </w:p>
    <w:p>
      <w:pPr>
        <w:pStyle w:val="Normal"/>
        <w:rPr>
          <w:rFonts w:ascii="Arial" w:hAnsi="Arial"/>
        </w:rPr>
      </w:pPr>
      <w:r>
        <w:rPr>
          <w:rFonts w:eastAsia="Arial" w:cs="Arial" w:ascii="Arial" w:hAnsi="Arial" w:eastAsiaTheme="minorEastAsia"/>
          <w:color w:val="000000"/>
          <w:lang w:eastAsia="fr-FR"/>
        </w:rPr>
        <w:t xml:space="preserve">« Tout est territoire » a écrit au début des années 1990 la géographe Maryvonne Le Berre (1995). À différentes échelles, celui-ci relève effectivement de l'intime pour chaque individu, du politique pour l'espace public ou de la Nation pour ce qui engage le destin du pays. Plus de 30 ans après, cette formule demeure toujours aussi valable même si les contours de ces territoires n'ont cessé d'évoluer (décentralisation, intégration européenne, émergence des métropoles...). Avec l’entrée dans l’ère de la transformation numérique, de nouveaux territoires sont apparus ou vont apparaître (metaverse). </w:t>
      </w:r>
    </w:p>
    <w:p>
      <w:pPr>
        <w:pStyle w:val="Normal"/>
        <w:rPr>
          <w:rFonts w:eastAsia="Arial" w:cs="Arial" w:eastAsiaTheme="minorEastAsia"/>
          <w:color w:val="000000"/>
          <w:lang w:eastAsia="fr-FR"/>
        </w:rPr>
      </w:pPr>
      <w:r>
        <w:rPr>
          <w:rFonts w:eastAsia="Arial" w:cs="Arial" w:eastAsiaTheme="minorEastAsia"/>
          <w:color w:val="000000"/>
          <w:lang w:eastAsia="fr-FR"/>
        </w:rPr>
      </w:r>
    </w:p>
    <w:p>
      <w:pPr>
        <w:pStyle w:val="Normal"/>
        <w:rPr>
          <w:rFonts w:ascii="Arial" w:hAnsi="Arial"/>
        </w:rPr>
      </w:pPr>
      <w:r>
        <w:rPr>
          <w:rFonts w:eastAsia="Arial" w:cs="Arial" w:ascii="Arial" w:hAnsi="Arial" w:eastAsiaTheme="minorEastAsia"/>
          <w:color w:val="000000"/>
          <w:lang w:eastAsia="fr-FR"/>
        </w:rPr>
        <w:t>La représentation des territoires elle-même a changé avec des limites moins marquées entre les villes et les campagnes. Selon l'INSEE, 95 % de la population française vit désormais sous l'influence des villes, si l'on considère les unités urbaines de plus de 1500 emplois et leur aire d'incidence au regard des trajets domicile travail des habitants des communes avoisinantes. Avec le développement des moyens de télécommunications et de transport, l'opposition traditionnelle entre l'urbain et le rural s'est estompée vers des espaces dits « rurbains ». Les espaces atypiques (montagne, littoral, frontière, …) o</w:t>
      </w:r>
      <w:bookmarkStart w:id="0" w:name="_GoBack"/>
      <w:bookmarkEnd w:id="0"/>
      <w:r>
        <w:rPr>
          <w:rFonts w:eastAsia="Arial" w:cs="Arial" w:ascii="Arial" w:hAnsi="Arial" w:eastAsiaTheme="minorEastAsia"/>
          <w:color w:val="000000"/>
          <w:lang w:eastAsia="fr-FR"/>
        </w:rPr>
        <w:t>nt aussi connu leurs propres mutations, de même que l'espace aérien voire spatial. Le questionnement sur le(s) du territoire(s) anime plus que jamais le débat public. L'appellation attribuée en 2020 au ministère de la Cohésion des territoires et des Relations avec les collectivités territoriales traduit à elle seule les préoccupations du moment.</w:t>
      </w:r>
    </w:p>
    <w:p>
      <w:pPr>
        <w:pStyle w:val="Normal"/>
        <w:rPr>
          <w:rFonts w:eastAsia="Arial" w:cs="Arial" w:eastAsiaTheme="minorEastAsia"/>
          <w:color w:val="000000"/>
          <w:lang w:eastAsia="fr-FR"/>
        </w:rPr>
      </w:pPr>
      <w:r>
        <w:rPr>
          <w:rFonts w:eastAsia="Arial" w:cs="Arial" w:eastAsiaTheme="minorEastAsia"/>
          <w:color w:val="000000"/>
          <w:lang w:eastAsia="fr-FR"/>
        </w:rPr>
      </w:r>
    </w:p>
    <w:p>
      <w:pPr>
        <w:pStyle w:val="Normal"/>
        <w:rPr>
          <w:rFonts w:ascii="Arial" w:hAnsi="Arial"/>
        </w:rPr>
      </w:pPr>
      <w:r>
        <w:rPr>
          <w:rFonts w:eastAsia="Arial" w:cs="Arial" w:ascii="Arial" w:hAnsi="Arial" w:eastAsiaTheme="minorEastAsia"/>
          <w:color w:val="000000"/>
          <w:lang w:eastAsia="fr-FR"/>
        </w:rPr>
        <w:t>Après un premier colloque organisé en juin 2020, le Centre de recherche de l'École de la gendarmerie nationale (CREOGN) et l'Université Gustave Eiffel ont souhaité poursuivre le développement de ce chantier en organisant un nouveau colloque décentralisé destiné aux chercheurs de toutes les disciplines et aux praticiens en France ou à l'étranger ayant travaillé ou travaillant sur la sécurité des territoires.</w:t>
      </w:r>
    </w:p>
    <w:p>
      <w:pPr>
        <w:pStyle w:val="Normal"/>
        <w:rPr>
          <w:rFonts w:eastAsia="Arial" w:cs="Arial" w:eastAsiaTheme="minorEastAsia"/>
          <w:color w:val="000000"/>
          <w:lang w:eastAsia="fr-FR"/>
        </w:rPr>
      </w:pPr>
      <w:r>
        <w:rPr>
          <w:rFonts w:eastAsia="Arial" w:cs="Arial" w:eastAsiaTheme="minorEastAsia"/>
          <w:color w:val="000000"/>
          <w:lang w:eastAsia="fr-FR"/>
        </w:rPr>
      </w:r>
    </w:p>
    <w:p>
      <w:pPr>
        <w:pStyle w:val="Normal"/>
        <w:rPr>
          <w:rFonts w:ascii="Arial" w:hAnsi="Arial"/>
        </w:rPr>
      </w:pPr>
      <w:r>
        <w:rPr>
          <w:rFonts w:eastAsia="Arial" w:cs="Arial" w:ascii="Arial" w:hAnsi="Arial" w:eastAsiaTheme="minorEastAsia"/>
          <w:color w:val="000000"/>
          <w:lang w:eastAsia="fr-FR"/>
        </w:rPr>
        <w:t>Ce colloque vise à encourager la diversité des approches en mêlant les expériences de terrain et les recherches autour de la notion de sécurité. Il s'agit d'ouvrir les communications possibles aux divers sens que peut prendre le terme de « sécurité », dans ses dimensions prospectives et rétrospectives.</w:t>
      </w:r>
    </w:p>
    <w:p>
      <w:pPr>
        <w:pStyle w:val="Normal"/>
        <w:rPr>
          <w:rFonts w:eastAsia="Arial" w:cs="Arial" w:eastAsiaTheme="minorEastAsia"/>
          <w:color w:val="000000"/>
          <w:lang w:eastAsia="fr-FR"/>
        </w:rPr>
      </w:pPr>
      <w:r>
        <w:rPr>
          <w:rFonts w:eastAsia="Arial" w:cs="Arial" w:eastAsiaTheme="minorEastAsia"/>
          <w:color w:val="000000"/>
          <w:lang w:eastAsia="fr-FR"/>
        </w:rPr>
      </w:r>
    </w:p>
    <w:p>
      <w:pPr>
        <w:pStyle w:val="Normal"/>
        <w:rPr>
          <w:rFonts w:ascii="Arial" w:hAnsi="Arial" w:eastAsia="Arial" w:cs="Arial" w:eastAsiaTheme="minorEastAsia"/>
          <w:color w:val="000000"/>
          <w:lang w:eastAsia="fr-FR"/>
        </w:rPr>
      </w:pPr>
      <w:r>
        <w:rPr>
          <w:rFonts w:eastAsia="Arial" w:cs="Arial" w:ascii="Arial" w:hAnsi="Arial" w:eastAsiaTheme="minorEastAsia"/>
          <w:color w:val="000000"/>
          <w:lang w:eastAsia="fr-FR"/>
        </w:rPr>
        <w:t>Plusieurs axes de réflexions sont déjà proposés dans l'attente éventuelle d'autres pistes nouvelles. Aussi, ces axes ne préfigurent en aucune manière le programme du colloque.</w:t>
      </w:r>
    </w:p>
    <w:p>
      <w:pPr>
        <w:pStyle w:val="Normal"/>
        <w:rPr>
          <w:rFonts w:ascii="Arial" w:hAnsi="Arial" w:eastAsia="Arial" w:cs="Arial" w:eastAsiaTheme="minorEastAsia"/>
          <w:color w:val="000000"/>
          <w:lang w:eastAsia="fr-FR"/>
        </w:rPr>
      </w:pPr>
      <w:r>
        <w:rPr>
          <w:rFonts w:eastAsia="Arial" w:cs="Arial" w:eastAsiaTheme="minorEastAsia" w:ascii="Arial" w:hAnsi="Arial"/>
          <w:color w:val="000000"/>
          <w:lang w:eastAsia="fr-FR"/>
        </w:rPr>
      </w:r>
    </w:p>
    <w:p>
      <w:pPr>
        <w:pStyle w:val="Normal"/>
        <w:rPr>
          <w:rFonts w:ascii="Arial" w:hAnsi="Arial" w:eastAsia="Arial" w:cs="Arial" w:eastAsiaTheme="minorEastAsia"/>
          <w:color w:val="000000"/>
          <w:lang w:eastAsia="fr-FR"/>
        </w:rPr>
      </w:pPr>
      <w:r>
        <w:rPr>
          <w:rFonts w:eastAsia="Arial" w:cs="Arial" w:eastAsiaTheme="minorEastAsia" w:ascii="Arial" w:hAnsi="Arial"/>
          <w:color w:val="000000"/>
          <w:lang w:eastAsia="fr-FR"/>
        </w:rPr>
      </w:r>
    </w:p>
    <w:p>
      <w:pPr>
        <w:pStyle w:val="Normal"/>
        <w:numPr>
          <w:ilvl w:val="0"/>
          <w:numId w:val="1"/>
        </w:numPr>
        <w:rPr>
          <w:rFonts w:eastAsia="Arial" w:cs="Arial" w:eastAsiaTheme="minorEastAsia"/>
          <w:color w:val="000000"/>
          <w:lang w:eastAsia="fr-FR"/>
        </w:rPr>
      </w:pPr>
      <w:r>
        <w:rPr>
          <w:rFonts w:eastAsia="Arial" w:cs="Arial" w:ascii="Arial" w:hAnsi="Arial" w:eastAsiaTheme="minorEastAsia"/>
          <w:b/>
          <w:bCs/>
          <w:color w:val="000000"/>
          <w:lang w:eastAsia="fr-FR"/>
        </w:rPr>
        <w:t>La cybersécurité dans le(s) territoire(s).</w:t>
      </w:r>
      <w:r>
        <w:rPr>
          <w:rFonts w:eastAsia="Arial" w:cs="Arial" w:ascii="Arial" w:hAnsi="Arial" w:eastAsiaTheme="minorEastAsia"/>
          <w:b w:val="false"/>
          <w:bCs w:val="false"/>
          <w:color w:val="000000"/>
          <w:lang w:eastAsia="fr-FR"/>
        </w:rPr>
        <w:t xml:space="preserve"> Le</w:t>
      </w:r>
      <w:r>
        <w:rPr>
          <w:rFonts w:eastAsia="Arial" w:cs="Arial" w:ascii="Arial" w:hAnsi="Arial" w:eastAsiaTheme="minorEastAsia"/>
          <w:b/>
          <w:bCs/>
          <w:color w:val="000000"/>
          <w:lang w:eastAsia="fr-FR"/>
        </w:rPr>
        <w:t xml:space="preserve"> </w:t>
      </w:r>
      <w:r>
        <w:rPr>
          <w:rFonts w:eastAsia="Arial" w:cs="Arial" w:ascii="Arial" w:hAnsi="Arial" w:eastAsiaTheme="minorEastAsia"/>
          <w:b w:val="false"/>
          <w:bCs w:val="false"/>
          <w:color w:val="000000"/>
          <w:lang w:eastAsia="fr-FR"/>
        </w:rPr>
        <w:t>rapport aux territoires (local, national, international ou même numériques) des acteurs privés ou publics ont été profondément transformés au cours de ces dernières années. Dans cette évolution, les questions de sécurité numérique sont devenue plus prégnantes. La menace touche aussi bien les particuliers, les entreprises que les organismes publiques, comme les établissements de santé notamment.</w:t>
      </w:r>
    </w:p>
    <w:p>
      <w:pPr>
        <w:pStyle w:val="Normal"/>
        <w:numPr>
          <w:ilvl w:val="0"/>
          <w:numId w:val="0"/>
        </w:numPr>
        <w:ind w:left="720" w:hanging="0"/>
        <w:rPr>
          <w:rFonts w:eastAsia="Arial" w:cs="Arial" w:eastAsiaTheme="minorEastAsia"/>
          <w:color w:val="000000"/>
          <w:lang w:eastAsia="fr-FR"/>
        </w:rPr>
      </w:pPr>
      <w:r>
        <w:rPr>
          <w:rFonts w:eastAsia="Arial" w:cs="Arial" w:ascii="Arial" w:hAnsi="Arial" w:eastAsiaTheme="minorEastAsia"/>
          <w:b w:val="false"/>
          <w:bCs w:val="false"/>
          <w:color w:val="000000"/>
          <w:lang w:eastAsia="fr-FR"/>
        </w:rPr>
        <w:t>Néanmoins, la prise de compte de ces risques demeure parfois encore insuffisante, comme le souligne le rapport d’information n°283 du Sénat de décembre 2021, intitulé « Les collectivités territoriales face au défi de la cybersécurité ». ce manque de sensibilisation se trouve aussi parmi les très petites et moyennes entreprises (TPE-PME).</w:t>
      </w:r>
    </w:p>
    <w:p>
      <w:pPr>
        <w:pStyle w:val="Normal"/>
        <w:numPr>
          <w:ilvl w:val="0"/>
          <w:numId w:val="0"/>
        </w:numPr>
        <w:ind w:left="720" w:hanging="0"/>
        <w:rPr>
          <w:rFonts w:eastAsia="Arial" w:cs="Arial" w:eastAsiaTheme="minorEastAsia"/>
          <w:color w:val="000000"/>
          <w:lang w:eastAsia="fr-FR"/>
        </w:rPr>
      </w:pPr>
      <w:r>
        <w:rPr>
          <w:rFonts w:eastAsia="Arial" w:cs="Arial" w:ascii="Arial" w:hAnsi="Arial" w:eastAsiaTheme="minorEastAsia"/>
          <w:b w:val="false"/>
          <w:bCs w:val="false"/>
          <w:color w:val="000000"/>
          <w:lang w:eastAsia="fr-FR"/>
        </w:rPr>
        <w:t xml:space="preserve">La question relève à la fois de l'ordre de la sécurisation, de la prévention mais aussi de la résilience : comment réagir en cas de cyberattaque et comment s'en relever ? </w:t>
      </w:r>
    </w:p>
    <w:p>
      <w:pPr>
        <w:pStyle w:val="Normal"/>
        <w:numPr>
          <w:ilvl w:val="0"/>
          <w:numId w:val="0"/>
        </w:numPr>
        <w:ind w:left="720" w:hanging="0"/>
        <w:rPr>
          <w:rFonts w:eastAsia="Arial" w:cs="Arial" w:eastAsiaTheme="minorEastAsia"/>
          <w:color w:val="000000"/>
          <w:lang w:eastAsia="fr-FR"/>
        </w:rPr>
      </w:pPr>
      <w:r>
        <w:rPr>
          <w:rFonts w:eastAsia="Arial" w:cs="Arial" w:ascii="Arial" w:hAnsi="Arial" w:eastAsiaTheme="minorEastAsia"/>
          <w:b w:val="false"/>
          <w:bCs w:val="false"/>
          <w:color w:val="000000"/>
          <w:lang w:eastAsia="fr-FR"/>
        </w:rPr>
        <w:t>L’Agence nationale de la sécurité des systèmes d'information (ANNSI), la Direction du renseignement et de la sécurité de la Défense (DRSD) et la gendarmerie nationale sont déjà engagées dans la prévention des risques et la formation aux bonnes attitudes numériques. L’Institut national pour la Cybersécurité et la résilience des territoires (IN.CRT), créé à Vannes, cible plus particulièrement les collectivités locales et les intercommunalités confrontées aux cyberattaques. « </w:t>
      </w:r>
      <w:r>
        <w:rPr>
          <w:rFonts w:eastAsia="Arial" w:cs="Arial" w:ascii="Arial" w:hAnsi="Arial" w:eastAsiaTheme="minorEastAsia"/>
          <w:b w:val="false"/>
          <w:bCs w:val="false"/>
          <w:i/>
          <w:color w:val="000000"/>
          <w:lang w:eastAsia="fr-FR"/>
        </w:rPr>
        <w:t>Il est plus que jamais urgent d’agir concrètement et collectivement en matière de sécurité numérique</w:t>
      </w:r>
      <w:r>
        <w:rPr>
          <w:rFonts w:eastAsia="Arial" w:cs="Arial" w:ascii="Arial" w:hAnsi="Arial" w:eastAsiaTheme="minorEastAsia"/>
          <w:b w:val="false"/>
          <w:bCs w:val="false"/>
          <w:color w:val="000000"/>
          <w:lang w:eastAsia="fr-FR"/>
        </w:rPr>
        <w:t xml:space="preserve"> », explique ainsi Guillaume Poupard, directeur général de l’ANSSI. </w:t>
      </w:r>
    </w:p>
    <w:p>
      <w:pPr>
        <w:pStyle w:val="Normal"/>
        <w:numPr>
          <w:ilvl w:val="0"/>
          <w:numId w:val="0"/>
        </w:numPr>
        <w:ind w:left="720" w:hanging="0"/>
        <w:rPr>
          <w:rFonts w:eastAsia="Arial" w:cs="Arial" w:eastAsiaTheme="minorEastAsia"/>
          <w:color w:val="000000"/>
          <w:lang w:eastAsia="fr-FR"/>
        </w:rPr>
      </w:pPr>
      <w:r>
        <w:rPr>
          <w:rFonts w:eastAsia="Arial" w:cs="Arial" w:eastAsiaTheme="minorEastAsia"/>
          <w:color w:val="000000"/>
          <w:lang w:eastAsia="fr-FR"/>
        </w:rPr>
      </w:r>
    </w:p>
    <w:p>
      <w:pPr>
        <w:pStyle w:val="Normal"/>
        <w:numPr>
          <w:ilvl w:val="0"/>
          <w:numId w:val="1"/>
        </w:numPr>
        <w:rPr>
          <w:rFonts w:ascii="Arial" w:hAnsi="Arial"/>
        </w:rPr>
      </w:pPr>
      <w:r>
        <w:rPr>
          <w:rFonts w:eastAsia="Arial" w:cs="Arial" w:ascii="Arial" w:hAnsi="Arial" w:eastAsiaTheme="minorEastAsia"/>
          <w:b/>
          <w:bCs/>
          <w:color w:val="000000"/>
          <w:lang w:eastAsia="fr-FR"/>
        </w:rPr>
        <w:t xml:space="preserve">Acteurs privés et filières industrielles de la sécurité de demain  </w:t>
      </w:r>
      <w:r>
        <w:rPr>
          <w:rFonts w:eastAsia="Arial" w:cs="Arial" w:ascii="Arial" w:hAnsi="Arial" w:eastAsiaTheme="minorEastAsia"/>
          <w:color w:val="000000"/>
          <w:lang w:eastAsia="fr-FR"/>
        </w:rPr>
        <w:t>On assiste à une diversification des acteurs de la sécurité et à l'affirmation du secteur privé dans ce domaine. « Les agents de l’État ne sont plus les seuls à assurer une mission de sécurité (…) L’État semble se retirer, petit à petit, de son rôle hégémonique de protection. Cette responsabilité, acquise tardivement, pourrait donc sembler quelque peu vacillante » estime Frédéric Diaz en 2003.</w:t>
      </w:r>
      <w:r>
        <w:rPr>
          <w:rFonts w:eastAsia="Arial" w:cs="Arial" w:ascii="Arial" w:hAnsi="Arial" w:eastAsiaTheme="minorEastAsia"/>
          <w:color w:val="980000"/>
          <w:lang w:eastAsia="fr-FR"/>
        </w:rPr>
        <w:t xml:space="preserve"> </w:t>
      </w:r>
      <w:r>
        <w:rPr>
          <w:rFonts w:eastAsia="Arial" w:cs="Arial" w:ascii="Arial" w:hAnsi="Arial" w:eastAsiaTheme="minorEastAsia"/>
          <w:color w:val="000000"/>
          <w:lang w:eastAsia="fr-FR"/>
        </w:rPr>
        <w:t>« Le rôle des États garants de la protection des personnes, des biens et de l'information ne va plus de soi » considère en 2004 Frédéric Ocqueteau. Du côté des bandes criminelles, il existe aussi la tentation de « faire la police ». Chaque jour, près de 250 000 policiers et gendarmes agissent sur le territoire national auxquels s'ajoutent 21500 policiers municipaux et 165 000 agents privés.</w:t>
      </w:r>
    </w:p>
    <w:p>
      <w:pPr>
        <w:pStyle w:val="Normal"/>
        <w:ind w:left="720" w:hanging="0"/>
        <w:rPr>
          <w:rFonts w:eastAsia="Arial" w:cs="Arial" w:eastAsiaTheme="minorEastAsia"/>
          <w:color w:val="000000"/>
          <w:lang w:eastAsia="fr-FR"/>
        </w:rPr>
      </w:pPr>
      <w:r>
        <w:rPr>
          <w:rFonts w:eastAsia="Arial" w:cs="Arial" w:eastAsiaTheme="minorEastAsia"/>
          <w:color w:val="000000"/>
          <w:lang w:eastAsia="fr-FR"/>
        </w:rPr>
      </w:r>
    </w:p>
    <w:p>
      <w:pPr>
        <w:pStyle w:val="Normal"/>
        <w:numPr>
          <w:ilvl w:val="0"/>
          <w:numId w:val="1"/>
        </w:numPr>
        <w:rPr>
          <w:rFonts w:ascii="Arial" w:hAnsi="Arial"/>
        </w:rPr>
      </w:pPr>
      <w:r>
        <w:rPr>
          <w:rFonts w:eastAsia="Arial" w:cs="Arial" w:ascii="Arial" w:hAnsi="Arial" w:eastAsiaTheme="minorEastAsia"/>
          <w:b/>
          <w:bCs/>
          <w:color w:val="000000"/>
          <w:lang w:eastAsia="fr-FR"/>
        </w:rPr>
        <w:t>Les innovations techniques de la sécurité, leurs imaginaires, et leur acceptabilité par les populations et les territoires.</w:t>
      </w:r>
      <w:r>
        <w:rPr>
          <w:rFonts w:eastAsia="Arial" w:cs="Arial" w:ascii="Arial" w:hAnsi="Arial" w:eastAsiaTheme="minorEastAsia"/>
          <w:color w:val="000000"/>
          <w:lang w:eastAsia="fr-FR"/>
        </w:rPr>
        <w:t xml:space="preserve"> Que proposent les nouvelles technologies dans l domaine de la sécurité et de la gestion d’évènements extraordinaires ?</w:t>
      </w:r>
      <w:r>
        <w:rPr>
          <w:rFonts w:eastAsia="Arial" w:cs="Arial" w:ascii="Arial" w:hAnsi="Arial" w:eastAsiaTheme="minorEastAsia"/>
          <w:b/>
          <w:bCs/>
          <w:color w:val="000000"/>
          <w:lang w:eastAsia="fr-FR"/>
        </w:rPr>
        <w:t xml:space="preserve"> </w:t>
      </w:r>
      <w:r>
        <w:rPr>
          <w:rFonts w:eastAsia="Arial" w:cs="Arial" w:ascii="Arial" w:hAnsi="Arial" w:eastAsiaTheme="minorEastAsia"/>
          <w:color w:val="000000"/>
          <w:lang w:eastAsia="fr-FR"/>
        </w:rPr>
        <w:t>Le territoire est devenu plus qu'un « être géographique » grâce aux nouvelles technologies numériques. Les progrès de la digitalisation ont contribué à abolir les distances en offrant une meilleure connexion entre les citoyens et les acteurs de la sécurité. Dans la gendarmerie nationale, l'arrivée de Néogend a bouleversé le rapport du personnel à la brigade territoriale en lui offrant une plus grande mobilité garantissant un accès optimisé aux principaux outils métiers. De son côté, la brigade numérique lancée en 2018 à Rennes permet de répondre 24h/24 et 7j/7 aux interrogations les plus variées des internautes à travers un échange personnalisé avec un gendarme, essentiellement par tchat. Ce poste avancé de l'espace virtuel est également révélateur des nouveaux besoins de sécurité apparus avec le développement d'Internet. Ce nouveau monde numérique a offert de nouvelles opportunités mais il a aussi suscité des craintes en matière de délinquance (escroquerie, pédopornographie, harcèlement, darknet, ...). D'autres innovations comme le Big data ou l'intelligence artificielle (IA) soulèvent des interrogations en matière de sécurité et de gouvernance des Data.</w:t>
      </w:r>
    </w:p>
    <w:p>
      <w:pPr>
        <w:pStyle w:val="Normal"/>
        <w:ind w:left="720" w:hanging="0"/>
        <w:rPr>
          <w:rFonts w:eastAsia="Arial" w:cs="Arial" w:eastAsiaTheme="minorEastAsia"/>
          <w:color w:val="000000"/>
          <w:lang w:eastAsia="fr-FR"/>
        </w:rPr>
      </w:pPr>
      <w:r>
        <w:rPr>
          <w:rFonts w:eastAsia="Arial" w:cs="Arial" w:eastAsiaTheme="minorEastAsia"/>
          <w:color w:val="000000"/>
          <w:lang w:eastAsia="fr-FR"/>
        </w:rPr>
      </w:r>
    </w:p>
    <w:p>
      <w:pPr>
        <w:pStyle w:val="Normal"/>
        <w:numPr>
          <w:ilvl w:val="0"/>
          <w:numId w:val="1"/>
        </w:numPr>
        <w:rPr>
          <w:rFonts w:eastAsia="Arial" w:cs="Arial" w:eastAsiaTheme="minorEastAsia"/>
          <w:color w:val="000000"/>
          <w:lang w:eastAsia="fr-FR"/>
        </w:rPr>
      </w:pPr>
      <w:r>
        <w:rPr>
          <w:rFonts w:eastAsia="Arial" w:cs="Arial" w:ascii="Arial" w:hAnsi="Arial" w:eastAsiaTheme="minorEastAsia"/>
          <w:b/>
          <w:bCs/>
          <w:color w:val="000000"/>
          <w:lang w:eastAsia="fr-FR"/>
        </w:rPr>
        <w:t xml:space="preserve">La sécurité perçue comme élément d’attractivité des territoires. </w:t>
      </w:r>
      <w:r>
        <w:rPr>
          <w:rFonts w:eastAsia="Arial" w:cs="Arial" w:ascii="Arial" w:hAnsi="Arial" w:eastAsiaTheme="minorEastAsia"/>
          <w:color w:val="000000"/>
          <w:lang w:eastAsia="fr-FR"/>
        </w:rPr>
        <w:t xml:space="preserve">Pour les acteurs socio-économiques, un territoire « sûr » est un gage d’attractivité qui favorisera leur ancrage au territoire, la pérennité de l’activité économique et plus généralement, la qualité de vie. Cette sécurité perçue est complexe et mérite d’être analysée du point de vue des territoires, de ses parties-prenantes et aussi du point de vue de la valorisation du patrimoine. </w:t>
      </w:r>
      <w:r>
        <w:rPr>
          <w:rFonts w:eastAsia="Arial" w:cs="Arial" w:ascii="Arial" w:hAnsi="Arial" w:eastAsiaTheme="minorEastAsia"/>
          <w:bCs/>
          <w:color w:val="000000"/>
          <w:lang w:eastAsia="fr-FR"/>
        </w:rPr>
        <w:t xml:space="preserve">A l’ère post-Covid, il </w:t>
      </w:r>
      <w:r>
        <w:rPr>
          <w:rFonts w:eastAsia="Arial" w:cs="Arial" w:ascii="Arial" w:hAnsi="Arial" w:eastAsiaTheme="minorEastAsia"/>
          <w:color w:val="000000"/>
          <w:lang w:eastAsia="fr-FR"/>
        </w:rPr>
        <w:t>s’agit notamment, dans une lecture large de la sécurité, d’intégrer le</w:t>
      </w:r>
      <w:r>
        <w:rPr>
          <w:rFonts w:eastAsia="Arial" w:cs="Arial" w:ascii="Arial" w:hAnsi="Arial" w:eastAsiaTheme="minorEastAsia"/>
          <w:bCs/>
          <w:color w:val="000000"/>
          <w:lang w:eastAsia="fr-FR"/>
        </w:rPr>
        <w:t>s prismes suivants : la sécurité comme forme de résilience pour les territoires, la sécurité des déplacements et le lien entre aménagement du territoire et sécurité …</w:t>
      </w:r>
    </w:p>
    <w:p>
      <w:pPr>
        <w:pStyle w:val="Normal"/>
        <w:rPr>
          <w:rFonts w:ascii="Arial" w:hAnsi="Arial" w:eastAsia="Arial" w:cs="Arial" w:eastAsiaTheme="minorEastAsia"/>
          <w:color w:val="000000"/>
          <w:lang w:eastAsia="fr-FR"/>
        </w:rPr>
      </w:pPr>
      <w:r>
        <w:rPr>
          <w:rFonts w:eastAsia="Arial" w:cs="Arial" w:eastAsiaTheme="minorEastAsia" w:ascii="Arial" w:hAnsi="Arial"/>
          <w:color w:val="000000"/>
          <w:lang w:eastAsia="fr-FR"/>
        </w:rPr>
      </w:r>
    </w:p>
    <w:p>
      <w:pPr>
        <w:pStyle w:val="Normal"/>
        <w:rPr>
          <w:rFonts w:ascii="Arial" w:hAnsi="Arial"/>
        </w:rPr>
      </w:pPr>
      <w:r>
        <w:rPr>
          <w:rFonts w:eastAsia="Arial" w:cs="Arial" w:ascii="Arial" w:hAnsi="Arial" w:eastAsiaTheme="minorEastAsia"/>
          <w:color w:val="000000"/>
          <w:lang w:eastAsia="fr-FR"/>
        </w:rPr>
        <w:t>Le défi de notre temps est bien là : penser tout à la fois les réseaux virtuels, l’identité territoriale et les nouveaux territoires de la sécurité.</w:t>
      </w:r>
    </w:p>
    <w:p>
      <w:pPr>
        <w:pStyle w:val="Normal"/>
        <w:spacing w:before="0" w:after="240"/>
        <w:jc w:val="left"/>
        <w:rPr>
          <w:rFonts w:ascii="Arial" w:hAnsi="Arial" w:eastAsia="Times New Roman" w:cs="Times New Roman"/>
          <w:color w:val="000000"/>
          <w:sz w:val="20"/>
          <w:szCs w:val="20"/>
          <w:lang w:eastAsia="fr-FR"/>
        </w:rPr>
      </w:pPr>
      <w:r>
        <w:rPr>
          <w:rFonts w:eastAsia="Times New Roman" w:cs="Times New Roman" w:ascii="Arial" w:hAnsi="Arial"/>
          <w:color w:val="000000"/>
          <w:sz w:val="20"/>
          <w:szCs w:val="20"/>
          <w:lang w:eastAsia="fr-FR"/>
        </w:rPr>
      </w:r>
    </w:p>
    <w:p>
      <w:pPr>
        <w:pStyle w:val="Normal"/>
        <w:rPr>
          <w:rFonts w:ascii="Arial" w:hAnsi="Arial"/>
        </w:rPr>
      </w:pPr>
      <w:r>
        <w:rPr>
          <w:rFonts w:eastAsia="Arial" w:cs="Arial" w:ascii="Arial" w:hAnsi="Arial" w:eastAsiaTheme="minorEastAsia"/>
          <w:b/>
          <w:bCs/>
          <w:color w:val="000000"/>
          <w:lang w:eastAsia="fr-FR"/>
        </w:rPr>
        <w:t>Les mots clés</w:t>
      </w:r>
    </w:p>
    <w:p>
      <w:pPr>
        <w:pStyle w:val="Normal"/>
        <w:rPr>
          <w:rFonts w:ascii="Arial" w:hAnsi="Arial" w:eastAsia="Arial" w:cs="Arial" w:eastAsiaTheme="minorEastAsia"/>
          <w:color w:val="000000"/>
          <w:lang w:eastAsia="fr-FR"/>
        </w:rPr>
      </w:pPr>
      <w:r>
        <w:rPr>
          <w:rFonts w:eastAsia="Arial" w:cs="Arial" w:ascii="Arial" w:hAnsi="Arial" w:eastAsiaTheme="minorEastAsia"/>
          <w:color w:val="000000"/>
          <w:lang w:eastAsia="fr-FR"/>
        </w:rPr>
        <w:t>Appropriation territoriale, crise, Data, drones, frontière(s), formation, flux, innovation, gendarmerie nationale, gouvernance, Intelligence artificielle (IA), mobilité, numérique, patrimoine, police municipale, police nationale, police de sécurité du quotidien (PSQ), proximité, résilience, safe city, smart city, sécurité, simulation, vidéosurveillance, vulnérabilité.</w:t>
      </w:r>
    </w:p>
    <w:p>
      <w:pPr>
        <w:pStyle w:val="Normal"/>
        <w:spacing w:before="0" w:after="120"/>
        <w:rPr>
          <w:rFonts w:ascii="Arial" w:hAnsi="Arial"/>
        </w:rPr>
      </w:pPr>
      <w:r>
        <w:rPr>
          <w:rFonts w:eastAsia="Arial" w:ascii="Arial" w:hAnsi="Arial" w:eastAsiaTheme="minorEastAsia"/>
        </w:rPr>
        <w:t>Pour cette deuxième édition le colloque Territoire(s) et Sécurité(s) se déroulera le 6 avril 2023 sur le Campus Méditerranée de l’Université Gustave Eiffel, en partenariat avec le pôle de compétitivité Safe Cluster.</w:t>
      </w:r>
    </w:p>
    <w:p>
      <w:pPr>
        <w:pStyle w:val="Normal"/>
        <w:spacing w:before="0" w:after="120"/>
        <w:rPr>
          <w:rFonts w:ascii="Arial" w:hAnsi="Arial"/>
          <w:b/>
          <w:b/>
        </w:rPr>
      </w:pPr>
      <w:r>
        <w:rPr>
          <w:rFonts w:ascii="Arial" w:hAnsi="Arial"/>
          <w:b/>
        </w:rPr>
      </w:r>
    </w:p>
    <w:p>
      <w:pPr>
        <w:pStyle w:val="Normal"/>
        <w:spacing w:before="0" w:after="120"/>
        <w:rPr>
          <w:rFonts w:ascii="Arial" w:hAnsi="Arial" w:eastAsia="Arial" w:cs="Arial" w:eastAsiaTheme="minorEastAsia"/>
          <w:b/>
          <w:b/>
          <w:bCs/>
          <w:color w:val="000000"/>
          <w:lang w:val="en-GB" w:eastAsia="fr-FR"/>
        </w:rPr>
      </w:pPr>
      <w:r>
        <w:rPr>
          <w:rFonts w:eastAsia="Arial" w:cs="Arial" w:ascii="Arial" w:hAnsi="Arial" w:eastAsiaTheme="minorEastAsia"/>
          <w:b/>
          <w:bCs/>
          <w:color w:val="000000"/>
          <w:lang w:val="en-GB" w:eastAsia="fr-FR"/>
        </w:rPr>
        <w:t>Références :</w:t>
      </w:r>
    </w:p>
    <w:p>
      <w:pPr>
        <w:pStyle w:val="Normal"/>
        <w:spacing w:before="0" w:after="170"/>
        <w:rPr>
          <w:lang w:val="en-GB"/>
        </w:rPr>
      </w:pPr>
      <w:r>
        <w:rPr>
          <w:rFonts w:eastAsia="Calibri" w:cs="Calibri" w:ascii="Calibri" w:hAnsi="Calibri"/>
          <w:color w:val="000000"/>
          <w:sz w:val="24"/>
          <w:lang w:val="en-GB"/>
        </w:rPr>
        <w:t>Ahmadi-Assalemi G., Al-Khateeb H., Epiphaniou G. and Maple C. (2020), Cyber Resilience and Incident Response in Smart Cities: A Systematic Literature Review, </w:t>
      </w:r>
      <w:r>
        <w:rPr>
          <w:rFonts w:eastAsia="Calibri" w:cs="Calibri" w:ascii="Calibri" w:hAnsi="Calibri"/>
          <w:i/>
          <w:color w:val="000000"/>
          <w:sz w:val="24"/>
          <w:lang w:val="en-GB"/>
        </w:rPr>
        <w:t>Smart Cities</w:t>
      </w:r>
      <w:r>
        <w:rPr>
          <w:rFonts w:eastAsia="Calibri" w:cs="Calibri" w:ascii="Calibri" w:hAnsi="Calibri"/>
          <w:color w:val="000000"/>
          <w:sz w:val="24"/>
          <w:lang w:val="en-GB"/>
        </w:rPr>
        <w:t> </w:t>
      </w:r>
      <w:r>
        <w:rPr>
          <w:rFonts w:eastAsia="Calibri" w:cs="Calibri" w:ascii="Calibri" w:hAnsi="Calibri"/>
          <w:i/>
          <w:color w:val="000000"/>
          <w:sz w:val="24"/>
          <w:lang w:val="en-GB"/>
        </w:rPr>
        <w:t>3</w:t>
      </w:r>
      <w:r>
        <w:rPr>
          <w:rFonts w:eastAsia="Calibri" w:cs="Calibri" w:ascii="Calibri" w:hAnsi="Calibri"/>
          <w:color w:val="000000"/>
          <w:sz w:val="24"/>
          <w:lang w:val="en-GB"/>
        </w:rPr>
        <w:t>, 894–927; doi:10.3390/smartcities3030046 </w:t>
      </w:r>
    </w:p>
    <w:p>
      <w:pPr>
        <w:pStyle w:val="Normal"/>
        <w:spacing w:before="0" w:after="170"/>
        <w:rPr>
          <w:lang w:val="en-GB"/>
        </w:rPr>
      </w:pPr>
      <w:r>
        <w:rPr>
          <w:rFonts w:eastAsia="Calibri" w:cs="Calibri" w:ascii="Calibri" w:hAnsi="Calibri"/>
          <w:color w:val="000000"/>
          <w:sz w:val="24"/>
          <w:lang w:val="it-IT"/>
        </w:rPr>
        <w:t xml:space="preserve">Al Dairi A., Tawalbeh L. (2017). </w:t>
      </w:r>
      <w:r>
        <w:rPr>
          <w:rFonts w:eastAsia="Calibri" w:cs="Calibri" w:ascii="Calibri" w:hAnsi="Calibri"/>
          <w:color w:val="000000"/>
          <w:sz w:val="24"/>
          <w:lang w:val="en-GB"/>
        </w:rPr>
        <w:t>“Cyber Security Attacks on Smart Cities and Associated Mobile Technologies Technologies”. </w:t>
      </w:r>
      <w:r>
        <w:rPr>
          <w:rFonts w:eastAsia="Calibri" w:cs="Calibri" w:ascii="Calibri" w:hAnsi="Calibri"/>
          <w:i/>
          <w:color w:val="000000"/>
          <w:sz w:val="24"/>
          <w:lang w:val="en-GB"/>
        </w:rPr>
        <w:t>Procedia Computer Science</w:t>
      </w:r>
      <w:r>
        <w:rPr>
          <w:rFonts w:eastAsia="Calibri" w:cs="Calibri" w:ascii="Calibri" w:hAnsi="Calibri"/>
          <w:color w:val="000000"/>
          <w:sz w:val="24"/>
          <w:lang w:val="en-GB"/>
        </w:rPr>
        <w:t> 109C, pp.1086–1091 </w:t>
      </w:r>
    </w:p>
    <w:p>
      <w:pPr>
        <w:pStyle w:val="Normal"/>
        <w:spacing w:before="0" w:after="170"/>
        <w:rPr>
          <w:rFonts w:ascii="Calibri" w:hAnsi="Calibri" w:eastAsia="Calibri" w:cs="Calibri"/>
          <w:color w:val="000000"/>
          <w:sz w:val="24"/>
          <w:lang w:val="en-GB"/>
        </w:rPr>
      </w:pPr>
      <w:r>
        <w:rPr>
          <w:rFonts w:eastAsia="Calibri" w:cs="Calibri" w:ascii="Calibri" w:hAnsi="Calibri"/>
          <w:color w:val="000000"/>
          <w:sz w:val="24"/>
          <w:lang w:val="en-GB"/>
        </w:rPr>
        <w:t>Chen D., Wawrzynski P., Ly Z. (2021). “Cyber security in smart cities: A review of deep learning-based applications and case studies”. </w:t>
      </w:r>
      <w:r>
        <w:rPr>
          <w:rFonts w:eastAsia="Calibri" w:cs="Calibri" w:ascii="Calibri" w:hAnsi="Calibri"/>
          <w:i/>
          <w:color w:val="000000"/>
          <w:sz w:val="24"/>
          <w:lang w:val="en-GB"/>
        </w:rPr>
        <w:t>Sustainable Cities and Society, </w:t>
      </w:r>
      <w:r>
        <w:rPr>
          <w:rFonts w:eastAsia="Calibri" w:cs="Calibri" w:ascii="Calibri" w:hAnsi="Calibri"/>
          <w:color w:val="000000"/>
          <w:sz w:val="24"/>
          <w:lang w:val="en-GB"/>
        </w:rPr>
        <w:t>vol.66.</w:t>
      </w:r>
    </w:p>
    <w:p>
      <w:pPr>
        <w:pStyle w:val="Normal"/>
        <w:spacing w:before="0" w:after="120"/>
        <w:jc w:val="left"/>
        <w:rPr>
          <w:rFonts w:ascii="Arial" w:hAnsi="Arial" w:cs="Arial"/>
          <w:color w:val="000000"/>
          <w:lang w:val="en-GB" w:eastAsia="fr-FR"/>
        </w:rPr>
      </w:pPr>
      <w:r>
        <w:rPr>
          <w:rFonts w:eastAsia="Arial" w:cs="Arial" w:ascii="Arial" w:hAnsi="Arial" w:eastAsiaTheme="minorEastAsia"/>
          <w:color w:val="000000"/>
          <w:lang w:val="en-GB" w:eastAsia="fr-FR"/>
        </w:rPr>
        <w:t>Diaz F. (2003)</w:t>
      </w:r>
    </w:p>
    <w:p>
      <w:pPr>
        <w:pStyle w:val="Normal"/>
        <w:spacing w:before="0" w:after="170"/>
        <w:jc w:val="left"/>
        <w:rPr>
          <w:rFonts w:eastAsia="Arial" w:cs="Times New Roman" w:eastAsiaTheme="minorEastAsia"/>
          <w:b/>
          <w:b/>
          <w:color w:val="000000"/>
          <w:szCs w:val="20"/>
          <w:lang w:val="en-GB" w:eastAsia="fr-FR"/>
        </w:rPr>
      </w:pPr>
      <w:r>
        <w:rPr>
          <w:rFonts w:eastAsia="Calibri" w:cs="Calibri" w:ascii="Calibri" w:hAnsi="Calibri"/>
          <w:color w:val="000000"/>
          <w:sz w:val="24"/>
          <w:lang w:val="en-GB"/>
        </w:rPr>
        <w:t>Laufs, J. H. Borrion, B. Bradford (2020). Security and the smart city: A systematic review. </w:t>
      </w:r>
      <w:r>
        <w:rPr>
          <w:rFonts w:eastAsia="Calibri" w:cs="Calibri" w:ascii="Calibri" w:hAnsi="Calibri"/>
          <w:i/>
          <w:color w:val="000000"/>
          <w:sz w:val="24"/>
          <w:lang w:val="en-GB"/>
        </w:rPr>
        <w:t>Sustainable Cities and Society</w:t>
      </w:r>
      <w:r>
        <w:rPr>
          <w:rFonts w:eastAsia="Calibri" w:cs="Calibri" w:ascii="Calibri" w:hAnsi="Calibri"/>
          <w:color w:val="000000"/>
          <w:sz w:val="24"/>
          <w:lang w:val="en-GB"/>
        </w:rPr>
        <w:t>, 55, 102023.</w:t>
      </w:r>
    </w:p>
    <w:p>
      <w:pPr>
        <w:pStyle w:val="Normal"/>
        <w:spacing w:before="0" w:after="120"/>
        <w:jc w:val="left"/>
        <w:rPr>
          <w:rFonts w:cs="Times New Roman"/>
          <w:color w:val="000000"/>
          <w:lang w:val="en-GB" w:eastAsia="fr-FR"/>
        </w:rPr>
      </w:pPr>
      <w:r>
        <w:rPr>
          <w:rFonts w:eastAsia="Arial" w:cs="Arial" w:ascii="Arial" w:hAnsi="Arial" w:eastAsiaTheme="minorEastAsia"/>
          <w:color w:val="000000"/>
          <w:lang w:val="en-GB" w:eastAsia="fr-FR"/>
        </w:rPr>
        <w:t>Le Berre M. (1995)</w:t>
      </w:r>
    </w:p>
    <w:p>
      <w:pPr>
        <w:pStyle w:val="Normal"/>
        <w:spacing w:before="0" w:after="120"/>
        <w:jc w:val="left"/>
        <w:rPr>
          <w:lang w:val="en-GB"/>
        </w:rPr>
      </w:pPr>
      <w:r>
        <w:rPr>
          <w:rFonts w:eastAsia="Arial" w:cs="Arial" w:ascii="Arial" w:hAnsi="Arial" w:eastAsiaTheme="minorEastAsia"/>
          <w:color w:val="000000"/>
          <w:lang w:val="en-GB" w:eastAsia="fr-FR"/>
        </w:rPr>
        <w:t>Ocqueteau F. (2004)</w:t>
      </w:r>
    </w:p>
    <w:p>
      <w:pPr>
        <w:pStyle w:val="Normal"/>
        <w:spacing w:lineRule="atLeast" w:line="288" w:before="200" w:after="0"/>
        <w:rPr>
          <w:lang w:val="en-GB"/>
        </w:rPr>
      </w:pPr>
      <w:r>
        <w:rPr>
          <w:rFonts w:eastAsia="Calibri" w:cs="Calibri" w:ascii="Calibri" w:hAnsi="Calibri"/>
          <w:color w:val="000000"/>
          <w:sz w:val="24"/>
          <w:lang w:val="en-GB"/>
        </w:rPr>
        <w:t>Soare S. R., Burton J. (2020). “Smart City, Cyber Warfare and social disorder”. In Ertan A., Floyd K., Pernik P., Stevens T. (eds) (2020) Cyber Threats and NATO 2030: Horizon Scanning and Analysis, The NATO Cooperative Cyber Defence Centre of Excellence, pp. 108-124</w:t>
      </w:r>
    </w:p>
    <w:p>
      <w:pPr>
        <w:pStyle w:val="Normal"/>
        <w:spacing w:before="0" w:after="120"/>
        <w:jc w:val="left"/>
        <w:rPr>
          <w:rFonts w:eastAsia="Arial" w:cs="Times New Roman" w:eastAsiaTheme="minorEastAsia"/>
          <w:b/>
          <w:b/>
          <w:bCs/>
          <w:color w:val="000000"/>
          <w:szCs w:val="20"/>
          <w:lang w:val="en-GB" w:eastAsia="fr-FR"/>
        </w:rPr>
      </w:pPr>
      <w:r>
        <w:rPr>
          <w:rFonts w:eastAsia="Arial" w:cs="Times New Roman" w:eastAsiaTheme="minorEastAsia"/>
          <w:b/>
          <w:bCs/>
          <w:color w:val="000000"/>
          <w:szCs w:val="20"/>
          <w:lang w:val="en-GB" w:eastAsia="fr-FR"/>
        </w:rPr>
      </w:r>
    </w:p>
    <w:p>
      <w:pPr>
        <w:pStyle w:val="Normal"/>
        <w:spacing w:before="0" w:after="120"/>
        <w:rPr>
          <w:rFonts w:ascii="Arial" w:hAnsi="Arial"/>
        </w:rPr>
      </w:pPr>
      <w:r>
        <w:rPr>
          <w:rFonts w:eastAsia="Arial" w:cs="Arial" w:ascii="Arial" w:hAnsi="Arial" w:eastAsiaTheme="minorEastAsia"/>
          <w:b/>
          <w:bCs/>
          <w:color w:val="000000"/>
          <w:lang w:eastAsia="fr-FR"/>
        </w:rPr>
        <w:t>Modalités de participation</w:t>
      </w:r>
    </w:p>
    <w:p>
      <w:pPr>
        <w:pStyle w:val="Normal"/>
        <w:rPr/>
      </w:pPr>
      <w:r>
        <w:rPr>
          <w:rFonts w:eastAsia="Arial" w:cs="Arial" w:ascii="Arial" w:hAnsi="Arial" w:eastAsiaTheme="minorEastAsia"/>
          <w:color w:val="000000"/>
          <w:lang w:eastAsia="fr-FR"/>
        </w:rPr>
        <w:t xml:space="preserve">Les personnes qui souhaitent soumettre une proposition de communication sont invitées à déposer pour le </w:t>
      </w:r>
      <w:r>
        <w:rPr>
          <w:rFonts w:eastAsia="Arial" w:cs="Arial" w:ascii="Arial" w:hAnsi="Arial" w:eastAsiaTheme="minorEastAsia"/>
          <w:b/>
          <w:color w:val="000000"/>
          <w:lang w:eastAsia="fr-FR"/>
        </w:rPr>
        <w:t>15</w:t>
      </w:r>
      <w:r>
        <w:rPr>
          <w:rFonts w:eastAsia="Arial" w:cs="Arial" w:ascii="Arial" w:hAnsi="Arial" w:eastAsiaTheme="minorEastAsia"/>
          <w:b/>
          <w:bCs/>
          <w:color w:val="000000"/>
          <w:lang w:eastAsia="fr-FR"/>
        </w:rPr>
        <w:t xml:space="preserve"> novembre 2022 </w:t>
      </w:r>
      <w:r>
        <w:rPr>
          <w:rFonts w:eastAsia="Arial" w:cs="Arial" w:ascii="Arial" w:hAnsi="Arial" w:eastAsiaTheme="minorEastAsia"/>
          <w:color w:val="000000"/>
          <w:lang w:eastAsia="fr-FR"/>
        </w:rPr>
        <w:t>sur le site du colloque (</w:t>
      </w:r>
      <w:hyperlink r:id="rId5" w:tgtFrame="https://cts-2021.sciencesconf.org/">
        <w:r>
          <w:rPr>
            <w:rStyle w:val="LienInternet"/>
            <w:rFonts w:eastAsia="Arial" w:cs="Times New Roman" w:ascii="Arial" w:hAnsi="Arial" w:eastAsiaTheme="minorEastAsia"/>
            <w:color w:val="1F497D"/>
            <w:highlight w:val="white"/>
            <w:lang w:eastAsia="fr-FR"/>
          </w:rPr>
          <w:t>https://cts-2021.sciencesconf.org/</w:t>
        </w:r>
      </w:hyperlink>
      <w:r>
        <w:rPr>
          <w:rFonts w:eastAsia="Arial" w:cs="Arial" w:ascii="Arial" w:hAnsi="Arial" w:eastAsiaTheme="minorEastAsia"/>
          <w:color w:val="000000"/>
          <w:lang w:eastAsia="fr-FR"/>
        </w:rPr>
        <w:t>) au format Word ou PDF un texte comprenant une courte présentation, un plan détaillé de la communication, l'approche méthodologique envisagée, les résultats obtenus ou visés et une bibliographie (15 références max.). Le texte ne doit pas dépasser 1000 mots.</w:t>
      </w:r>
    </w:p>
    <w:p>
      <w:pPr>
        <w:pStyle w:val="Normal"/>
        <w:rPr>
          <w:rFonts w:ascii="Arial" w:hAnsi="Arial"/>
        </w:rPr>
      </w:pPr>
      <w:r>
        <w:rPr>
          <w:rFonts w:eastAsia="Arial" w:cs="Arial" w:ascii="Arial" w:hAnsi="Arial" w:eastAsiaTheme="minorEastAsia"/>
          <w:color w:val="000000"/>
          <w:lang w:eastAsia="fr-FR"/>
        </w:rPr>
        <w:t>Une publication des actes est programmée. Les informations seront précisées ultérieurement.</w:t>
      </w:r>
    </w:p>
    <w:p>
      <w:pPr>
        <w:pStyle w:val="Normal"/>
        <w:jc w:val="left"/>
        <w:rPr>
          <w:rFonts w:eastAsia="Arial" w:cs="Arial" w:eastAsiaTheme="minorEastAsia"/>
          <w:color w:val="000000"/>
          <w:lang w:eastAsia="fr-FR"/>
        </w:rPr>
      </w:pPr>
      <w:r>
        <w:rPr>
          <w:rFonts w:eastAsia="Arial" w:cs="Arial" w:eastAsiaTheme="minorEastAsia"/>
          <w:color w:val="000000"/>
          <w:lang w:eastAsia="fr-FR"/>
        </w:rPr>
      </w:r>
    </w:p>
    <w:p>
      <w:pPr>
        <w:pStyle w:val="Normal"/>
        <w:jc w:val="left"/>
        <w:rPr>
          <w:rFonts w:eastAsia="Arial" w:cs="Arial" w:eastAsiaTheme="minorEastAsia"/>
          <w:color w:val="000000"/>
          <w:lang w:eastAsia="fr-FR"/>
        </w:rPr>
      </w:pPr>
      <w:r>
        <w:rPr>
          <w:rFonts w:eastAsia="Arial" w:cs="Arial" w:eastAsiaTheme="minorEastAsia"/>
          <w:color w:val="000000"/>
          <w:lang w:eastAsia="fr-FR"/>
        </w:rPr>
      </w:r>
    </w:p>
    <w:p>
      <w:pPr>
        <w:pStyle w:val="Normal"/>
        <w:spacing w:before="0" w:after="140"/>
        <w:ind w:left="360" w:hanging="360"/>
        <w:rPr>
          <w:rFonts w:ascii="Arial" w:hAnsi="Arial"/>
        </w:rPr>
      </w:pPr>
      <w:r>
        <w:rPr>
          <w:rFonts w:eastAsia="Arial" w:cs="Arial" w:ascii="Arial" w:hAnsi="Arial" w:eastAsiaTheme="minorEastAsia"/>
          <w:b/>
          <w:bCs/>
          <w:color w:val="000000"/>
          <w:lang w:eastAsia="fr-FR"/>
        </w:rPr>
        <w:t>Le comité scientifique</w:t>
      </w:r>
    </w:p>
    <w:p>
      <w:pPr>
        <w:pStyle w:val="ListParagraph"/>
        <w:numPr>
          <w:ilvl w:val="0"/>
          <w:numId w:val="2"/>
        </w:numPr>
        <w:spacing w:lineRule="auto" w:line="276"/>
        <w:ind w:left="360" w:hanging="360"/>
        <w:rPr>
          <w:rFonts w:ascii="Arial" w:hAnsi="Arial"/>
          <w:sz w:val="22"/>
        </w:rPr>
      </w:pPr>
      <w:r>
        <w:rPr>
          <w:rFonts w:ascii="Arial" w:hAnsi="Arial"/>
          <w:sz w:val="22"/>
          <w:lang w:eastAsia="fr-FR"/>
        </w:rPr>
        <w:t xml:space="preserve">BOURRET Christian, PR, Université Gustave Eiffel, laboratoire DICEN IDF (Dispositifs d’Information et de Communication à l’Ere Numérique)  </w:t>
      </w:r>
      <w:hyperlink r:id="rId6" w:tgtFrame="mailto:christian.bourret@univ-eiffel.fr">
        <w:r>
          <w:rPr>
            <w:szCs w:val="22"/>
          </w:rPr>
          <w:t>christian.bourret@univ-eiffel.fr</w:t>
        </w:r>
      </w:hyperlink>
      <w:r>
        <w:rPr>
          <w:rFonts w:ascii="Arial" w:hAnsi="Arial"/>
          <w:sz w:val="22"/>
          <w:lang w:eastAsia="fr-FR"/>
        </w:rPr>
        <w:t> </w:t>
      </w:r>
    </w:p>
    <w:p>
      <w:pPr>
        <w:pStyle w:val="ListParagraph"/>
        <w:numPr>
          <w:ilvl w:val="0"/>
          <w:numId w:val="2"/>
        </w:numPr>
        <w:spacing w:lineRule="auto" w:line="276"/>
        <w:ind w:left="360" w:hanging="360"/>
        <w:rPr>
          <w:rFonts w:ascii="Arial" w:hAnsi="Arial"/>
          <w:color w:val="auto"/>
          <w:sz w:val="22"/>
        </w:rPr>
      </w:pPr>
      <w:r>
        <w:rPr>
          <w:rFonts w:ascii="Arial" w:hAnsi="Arial"/>
          <w:sz w:val="22"/>
        </w:rPr>
        <w:t xml:space="preserve">CALISTE </w:t>
      </w:r>
      <w:r>
        <w:rPr>
          <w:rFonts w:ascii="Arial" w:hAnsi="Arial"/>
          <w:sz w:val="22"/>
          <w:shd w:fill="FDFDFD" w:val="clear"/>
        </w:rPr>
        <w:t>Jean-Pierre, Université de Technologie de Compiègne / Codata France</w:t>
      </w:r>
    </w:p>
    <w:p>
      <w:pPr>
        <w:pStyle w:val="ListParagraph"/>
        <w:numPr>
          <w:ilvl w:val="0"/>
          <w:numId w:val="2"/>
        </w:numPr>
        <w:spacing w:lineRule="auto" w:line="276"/>
        <w:ind w:left="360" w:hanging="360"/>
        <w:rPr>
          <w:rFonts w:ascii="Arial" w:hAnsi="Arial"/>
          <w:sz w:val="22"/>
        </w:rPr>
      </w:pPr>
      <w:r>
        <w:rPr>
          <w:rFonts w:ascii="Arial" w:hAnsi="Arial"/>
          <w:sz w:val="22"/>
        </w:rPr>
        <w:t xml:space="preserve">DAVID Amos, PR, Université de Lorraine, </w:t>
      </w:r>
      <w:hyperlink r:id="rId7" w:tgtFrame="mailto:amos.david@univ-lorraine.fr">
        <w:r>
          <w:rPr>
            <w:rStyle w:val="LienInternet"/>
            <w:rFonts w:ascii="Arial" w:hAnsi="Arial"/>
            <w:sz w:val="22"/>
            <w:szCs w:val="22"/>
          </w:rPr>
          <w:t>amos.david@univ-lorraine.fr</w:t>
        </w:r>
      </w:hyperlink>
      <w:r>
        <w:rPr>
          <w:rFonts w:ascii="Arial" w:hAnsi="Arial"/>
          <w:sz w:val="22"/>
        </w:rPr>
        <w:t xml:space="preserve"> </w:t>
      </w:r>
    </w:p>
    <w:p>
      <w:pPr>
        <w:pStyle w:val="ListParagraph"/>
        <w:numPr>
          <w:ilvl w:val="0"/>
          <w:numId w:val="2"/>
        </w:numPr>
        <w:spacing w:lineRule="auto" w:line="276"/>
        <w:ind w:left="360" w:hanging="360"/>
        <w:rPr>
          <w:rFonts w:ascii="Arial" w:hAnsi="Arial"/>
          <w:sz w:val="22"/>
        </w:rPr>
      </w:pPr>
      <w:r>
        <w:rPr>
          <w:rFonts w:ascii="Arial" w:hAnsi="Arial"/>
          <w:sz w:val="22"/>
          <w:lang w:eastAsia="fr-FR"/>
        </w:rPr>
        <w:t xml:space="preserve">FABRY Nathalie, PR, Université Gustave Eiffel, laboratoire DICEN IDF (Dispositifs d’Information et de Communication à l’Ere Numérique), </w:t>
      </w:r>
      <w:hyperlink r:id="rId8" w:tgtFrame="mailto:nathalie.fabry@univ-eiffel.fr">
        <w:r>
          <w:rPr>
            <w:szCs w:val="22"/>
          </w:rPr>
          <w:t>nathalie.fabry@univ-eiffel.fr</w:t>
        </w:r>
      </w:hyperlink>
      <w:r>
        <w:rPr>
          <w:rFonts w:ascii="Arial" w:hAnsi="Arial"/>
          <w:sz w:val="22"/>
          <w:lang w:eastAsia="fr-FR"/>
        </w:rPr>
        <w:t> </w:t>
      </w:r>
    </w:p>
    <w:p>
      <w:pPr>
        <w:pStyle w:val="ListParagraph"/>
        <w:numPr>
          <w:ilvl w:val="0"/>
          <w:numId w:val="2"/>
        </w:numPr>
        <w:spacing w:lineRule="auto" w:line="276"/>
        <w:ind w:left="360" w:hanging="360"/>
        <w:rPr>
          <w:rFonts w:ascii="Arial" w:hAnsi="Arial"/>
          <w:sz w:val="22"/>
        </w:rPr>
      </w:pPr>
      <w:r>
        <w:rPr>
          <w:rFonts w:ascii="Arial" w:hAnsi="Arial"/>
          <w:sz w:val="22"/>
          <w:lang w:eastAsia="fr-FR"/>
        </w:rPr>
        <w:t xml:space="preserve">HABERBUSCH Benoît (commandant), docteur en histoire, chef du département Recherche et Stratégie CREOGN : </w:t>
      </w:r>
      <w:hyperlink r:id="rId9" w:tgtFrame="mailto:benoit.haberbusch@gendarmerie.interieur.gouv.fr">
        <w:r>
          <w:rPr>
            <w:szCs w:val="22"/>
          </w:rPr>
          <w:t>benoit.haberbusch@gendarmerie.interieur.gouv.fr</w:t>
        </w:r>
      </w:hyperlink>
      <w:r>
        <w:rPr>
          <w:rFonts w:ascii="Arial" w:hAnsi="Arial"/>
          <w:sz w:val="22"/>
          <w:lang w:eastAsia="fr-FR"/>
        </w:rPr>
        <w:t> </w:t>
      </w:r>
    </w:p>
    <w:p>
      <w:pPr>
        <w:pStyle w:val="ListParagraph"/>
        <w:numPr>
          <w:ilvl w:val="0"/>
          <w:numId w:val="2"/>
        </w:numPr>
        <w:spacing w:lineRule="auto" w:line="276"/>
        <w:ind w:left="360" w:hanging="360"/>
        <w:rPr>
          <w:rFonts w:ascii="Arial" w:hAnsi="Arial" w:cs="Arial"/>
          <w:sz w:val="22"/>
          <w:szCs w:val="22"/>
          <w:lang w:eastAsia="fr-FR"/>
        </w:rPr>
      </w:pPr>
      <w:r>
        <w:rPr>
          <w:rFonts w:ascii="Arial" w:hAnsi="Arial"/>
          <w:sz w:val="22"/>
          <w:lang w:eastAsia="fr-FR"/>
        </w:rPr>
        <w:t xml:space="preserve">MOINET Nicolas, PR, IAE Université de Poitiers, </w:t>
      </w:r>
      <w:hyperlink r:id="rId10" w:tgtFrame="mailto:nmoinet@poitiers.iae-france.fr">
        <w:r>
          <w:rPr>
            <w:rStyle w:val="LienInternet"/>
            <w:rFonts w:cs="Arial" w:ascii="Arial" w:hAnsi="Arial"/>
            <w:sz w:val="22"/>
            <w:szCs w:val="22"/>
          </w:rPr>
          <w:t>nmoinet@poitiers.iae-france.fr</w:t>
        </w:r>
      </w:hyperlink>
    </w:p>
    <w:p>
      <w:pPr>
        <w:pStyle w:val="ListParagraph"/>
        <w:numPr>
          <w:ilvl w:val="0"/>
          <w:numId w:val="2"/>
        </w:numPr>
        <w:spacing w:lineRule="auto" w:line="276"/>
        <w:ind w:left="360" w:hanging="360"/>
        <w:rPr>
          <w:rStyle w:val="LienInternet"/>
          <w:rFonts w:ascii="Arial" w:hAnsi="Arial"/>
          <w:sz w:val="22"/>
          <w:szCs w:val="22"/>
        </w:rPr>
      </w:pPr>
      <w:r>
        <w:rPr>
          <w:rFonts w:ascii="Arial" w:hAnsi="Arial"/>
          <w:sz w:val="22"/>
        </w:rPr>
        <w:t xml:space="preserve">PARRINI-ALEMANNO Sylvie, PR, CNAM Paris, laboratoire DICEN IDF (Dispositifs d’Information et de Communication à l’Ere Numérique), </w:t>
      </w:r>
      <w:hyperlink r:id="rId11" w:tgtFrame="mailto:sylvie.parrini-alemanno@lecnam.net">
        <w:r>
          <w:rPr>
            <w:rStyle w:val="LienInternet"/>
            <w:rFonts w:ascii="Arial" w:hAnsi="Arial"/>
            <w:sz w:val="22"/>
            <w:szCs w:val="22"/>
          </w:rPr>
          <w:t>sylvie.parrini-alemanno@lecnam.net</w:t>
        </w:r>
      </w:hyperlink>
    </w:p>
    <w:p>
      <w:pPr>
        <w:pStyle w:val="ListParagraph"/>
        <w:numPr>
          <w:ilvl w:val="0"/>
          <w:numId w:val="2"/>
        </w:numPr>
        <w:spacing w:lineRule="auto" w:line="276"/>
        <w:ind w:left="360" w:hanging="360"/>
        <w:rPr>
          <w:rFonts w:ascii="Arial" w:hAnsi="Arial"/>
          <w:sz w:val="22"/>
        </w:rPr>
      </w:pPr>
      <w:r>
        <w:rPr>
          <w:rFonts w:ascii="Arial" w:hAnsi="Arial"/>
          <w:sz w:val="22"/>
          <w:lang w:eastAsia="fr-FR"/>
        </w:rPr>
        <w:t>SAINT-GERAND Thierry, PR émérite, Université Caen, CNRS Caen, laboratoire IDEES (Identité et Différenciation de l'Espace, de l'Environnement et des Sociétés )</w:t>
      </w:r>
    </w:p>
    <w:p>
      <w:pPr>
        <w:pStyle w:val="ListParagraph"/>
        <w:numPr>
          <w:ilvl w:val="0"/>
          <w:numId w:val="2"/>
        </w:numPr>
        <w:spacing w:lineRule="auto" w:line="276"/>
        <w:ind w:left="360" w:hanging="360"/>
        <w:rPr>
          <w:rFonts w:ascii="Arial" w:hAnsi="Arial"/>
          <w:sz w:val="22"/>
        </w:rPr>
      </w:pPr>
      <w:r>
        <w:rPr>
          <w:rFonts w:ascii="Arial" w:hAnsi="Arial"/>
          <w:sz w:val="22"/>
        </w:rPr>
        <w:t xml:space="preserve">SEVERO Marta, PR, Université de Paris-Nanterre, </w:t>
      </w:r>
      <w:r>
        <w:rPr>
          <w:rFonts w:ascii="Arial" w:hAnsi="Arial"/>
          <w:sz w:val="22"/>
          <w:lang w:eastAsia="fr-FR"/>
        </w:rPr>
        <w:t xml:space="preserve">laboratoire DICEN IDF (Dispositifs d’Information et de Communication à l’Ere Numérique), </w:t>
      </w:r>
      <w:hyperlink r:id="rId12" w:tgtFrame="mailto:msevero@parisnanterre.fr">
        <w:r>
          <w:rPr>
            <w:rStyle w:val="LienInternet"/>
            <w:rFonts w:ascii="Arial" w:hAnsi="Arial"/>
            <w:sz w:val="22"/>
            <w:szCs w:val="22"/>
          </w:rPr>
          <w:t>msevero@parisnanterre.fr</w:t>
        </w:r>
      </w:hyperlink>
      <w:r>
        <w:rPr>
          <w:rFonts w:ascii="Arial" w:hAnsi="Arial"/>
          <w:sz w:val="22"/>
        </w:rPr>
        <w:t xml:space="preserve"> </w:t>
      </w:r>
    </w:p>
    <w:p>
      <w:pPr>
        <w:pStyle w:val="ListParagraph"/>
        <w:numPr>
          <w:ilvl w:val="0"/>
          <w:numId w:val="2"/>
        </w:numPr>
        <w:spacing w:lineRule="auto" w:line="276"/>
        <w:ind w:left="360" w:hanging="360"/>
        <w:rPr>
          <w:rFonts w:ascii="Arial" w:hAnsi="Arial"/>
          <w:sz w:val="22"/>
        </w:rPr>
      </w:pPr>
      <w:r>
        <w:rPr>
          <w:rFonts w:ascii="Arial" w:hAnsi="Arial"/>
          <w:sz w:val="22"/>
        </w:rPr>
        <w:t xml:space="preserve">ZACKLAD Manuel, PR, CNAM Paris, laboratoire DICEN IDF (Dispositifs d’Information et de Communication à l’Ere Numérique), </w:t>
      </w:r>
      <w:hyperlink r:id="rId13" w:tgtFrame="mailto:manuel.zacklad@lecnam.net">
        <w:r>
          <w:rPr>
            <w:rStyle w:val="LienInternet"/>
            <w:rFonts w:ascii="Arial" w:hAnsi="Arial"/>
            <w:sz w:val="22"/>
            <w:szCs w:val="22"/>
          </w:rPr>
          <w:t>manuel.zacklad@lecnam.net</w:t>
        </w:r>
      </w:hyperlink>
      <w:r>
        <w:rPr>
          <w:rFonts w:ascii="Arial" w:hAnsi="Arial"/>
          <w:sz w:val="22"/>
        </w:rPr>
        <w:t xml:space="preserve"> </w:t>
      </w:r>
    </w:p>
    <w:p>
      <w:pPr>
        <w:pStyle w:val="ListParagraph"/>
        <w:numPr>
          <w:ilvl w:val="0"/>
          <w:numId w:val="2"/>
        </w:numPr>
        <w:spacing w:lineRule="auto" w:line="276"/>
        <w:ind w:left="360" w:hanging="360"/>
        <w:rPr>
          <w:rFonts w:ascii="Arial" w:hAnsi="Arial"/>
          <w:sz w:val="22"/>
        </w:rPr>
      </w:pPr>
      <w:r>
        <w:rPr>
          <w:rFonts w:ascii="Arial" w:hAnsi="Arial"/>
          <w:sz w:val="22"/>
          <w:lang w:eastAsia="fr-FR"/>
        </w:rPr>
        <w:t xml:space="preserve">ZEGHNI Sylvain, MCF-HDR, Université Gustave Eiffel, laboratoire LVMT (Ville, Mobilité, Territoire), </w:t>
      </w:r>
      <w:hyperlink r:id="rId14" w:tgtFrame="mailto:sylvain.zeghni@univ-eiffel.fr">
        <w:r>
          <w:rPr>
            <w:szCs w:val="22"/>
          </w:rPr>
          <w:t>sylvain.zeghni@univ-eiffel.fr</w:t>
        </w:r>
      </w:hyperlink>
      <w:r>
        <w:rPr>
          <w:rFonts w:ascii="Arial" w:hAnsi="Arial"/>
          <w:sz w:val="22"/>
          <w:lang w:eastAsia="fr-FR"/>
        </w:rPr>
        <w:t> </w:t>
      </w:r>
    </w:p>
    <w:p>
      <w:pPr>
        <w:pStyle w:val="Normal"/>
        <w:spacing w:before="114" w:after="114"/>
        <w:rPr>
          <w:rFonts w:ascii="Arial" w:hAnsi="Arial"/>
        </w:rPr>
      </w:pPr>
      <w:r>
        <w:rPr>
          <w:rFonts w:ascii="Arial" w:hAnsi="Arial"/>
        </w:rPr>
      </w:r>
    </w:p>
    <w:p>
      <w:pPr>
        <w:pStyle w:val="Normal"/>
        <w:spacing w:before="0" w:after="140"/>
        <w:rPr/>
      </w:pPr>
      <w:r>
        <w:rPr>
          <w:rFonts w:eastAsia="Arial" w:cs="Arial" w:ascii="Arial" w:hAnsi="Arial" w:eastAsiaTheme="minorEastAsia"/>
          <w:b/>
          <w:bCs/>
          <w:color w:val="000000"/>
          <w:sz w:val="24"/>
          <w:szCs w:val="24"/>
          <w:lang w:eastAsia="fr-FR"/>
        </w:rPr>
        <w:t>Le comité d’organisation</w:t>
      </w:r>
    </w:p>
    <w:p>
      <w:pPr>
        <w:pStyle w:val="ListParagraph"/>
        <w:numPr>
          <w:ilvl w:val="0"/>
          <w:numId w:val="3"/>
        </w:numPr>
        <w:spacing w:lineRule="auto" w:line="276" w:before="120" w:after="120"/>
        <w:contextualSpacing/>
        <w:jc w:val="left"/>
        <w:rPr>
          <w:rFonts w:ascii="Arial" w:hAnsi="Arial"/>
          <w:sz w:val="22"/>
          <w:lang w:val="it-IT"/>
        </w:rPr>
      </w:pPr>
      <w:r>
        <w:rPr>
          <w:rFonts w:cs="Arial" w:ascii="Arial" w:hAnsi="Arial"/>
          <w:color w:val="000000"/>
          <w:sz w:val="22"/>
          <w:lang w:val="it-IT" w:eastAsia="fr-FR"/>
        </w:rPr>
        <w:t xml:space="preserve">Claudia DA RE : </w:t>
      </w:r>
      <w:hyperlink r:id="rId15" w:tgtFrame="mailto:claudia.da-re@univ-eiffel.fr">
        <w:r>
          <w:rPr>
            <w:szCs w:val="22"/>
            <w:lang w:val="it-IT"/>
          </w:rPr>
          <w:t>claudia.da-re@univ-eiffel.fr</w:t>
        </w:r>
      </w:hyperlink>
    </w:p>
    <w:p>
      <w:pPr>
        <w:pStyle w:val="ListParagraph"/>
        <w:numPr>
          <w:ilvl w:val="0"/>
          <w:numId w:val="3"/>
        </w:numPr>
        <w:spacing w:lineRule="auto" w:line="276" w:before="120" w:after="120"/>
        <w:contextualSpacing/>
        <w:jc w:val="left"/>
        <w:rPr>
          <w:rFonts w:ascii="Arial" w:hAnsi="Arial"/>
          <w:sz w:val="22"/>
        </w:rPr>
      </w:pPr>
      <w:r>
        <w:rPr>
          <w:rFonts w:cs="Arial" w:ascii="Arial" w:hAnsi="Arial"/>
          <w:color w:val="000000"/>
          <w:sz w:val="22"/>
          <w:lang w:eastAsia="fr-FR"/>
        </w:rPr>
        <w:t xml:space="preserve">Nathalie FABRY : </w:t>
      </w:r>
      <w:hyperlink r:id="rId16" w:tgtFrame="mailto:Nathalie.fabry@univ-eiffel.fr">
        <w:r>
          <w:rPr>
            <w:szCs w:val="22"/>
          </w:rPr>
          <w:t>nathalie.fabry@univ-eiffel.fr</w:t>
        </w:r>
      </w:hyperlink>
    </w:p>
    <w:p>
      <w:pPr>
        <w:pStyle w:val="ListParagraph"/>
        <w:numPr>
          <w:ilvl w:val="0"/>
          <w:numId w:val="3"/>
        </w:numPr>
        <w:spacing w:lineRule="auto" w:line="276" w:before="120" w:after="120"/>
        <w:contextualSpacing/>
        <w:jc w:val="left"/>
        <w:rPr>
          <w:rFonts w:ascii="Arial" w:hAnsi="Arial"/>
          <w:sz w:val="22"/>
          <w:lang w:val="fr-FR"/>
        </w:rPr>
      </w:pPr>
      <w:r>
        <w:rPr>
          <w:rFonts w:ascii="Arial" w:hAnsi="Arial"/>
          <w:sz w:val="22"/>
          <w:lang w:val="fr-FR"/>
        </w:rPr>
        <w:t xml:space="preserve">Frédérique HERNANDEZ : </w:t>
      </w:r>
      <w:hyperlink r:id="rId17" w:tgtFrame="mailto:frederique.hernandez@univ-eiffel.fr">
        <w:r>
          <w:rPr>
            <w:rStyle w:val="LienInternet"/>
            <w:rFonts w:ascii="Arial" w:hAnsi="Arial"/>
            <w:sz w:val="22"/>
            <w:lang w:val="fr-FR"/>
          </w:rPr>
          <w:t>frederique.hernandez@univ-eiffel.fr</w:t>
        </w:r>
      </w:hyperlink>
      <w:r>
        <w:rPr>
          <w:rFonts w:ascii="Arial" w:hAnsi="Arial"/>
          <w:sz w:val="22"/>
          <w:lang w:val="fr-FR"/>
        </w:rPr>
        <w:t xml:space="preserve"> </w:t>
      </w:r>
    </w:p>
    <w:p>
      <w:pPr>
        <w:pStyle w:val="ListParagraph"/>
        <w:widowControl w:val="false"/>
        <w:numPr>
          <w:ilvl w:val="0"/>
          <w:numId w:val="3"/>
        </w:numPr>
        <w:tabs>
          <w:tab w:val="clear" w:pos="2820"/>
          <w:tab w:val="left" w:pos="345" w:leader="none"/>
        </w:tabs>
        <w:suppressAutoHyphens w:val="true"/>
        <w:bidi w:val="0"/>
        <w:spacing w:lineRule="auto" w:line="276" w:before="120" w:after="120"/>
        <w:ind w:left="340" w:right="-624" w:hanging="340"/>
        <w:contextualSpacing/>
        <w:jc w:val="left"/>
        <w:rPr>
          <w:rFonts w:ascii="Arial" w:hAnsi="Arial"/>
          <w:sz w:val="22"/>
          <w:lang w:val="fr-FR"/>
        </w:rPr>
      </w:pPr>
      <w:r>
        <w:rPr>
          <w:rFonts w:cs="Arial" w:ascii="Arial" w:hAnsi="Arial"/>
          <w:color w:val="000000"/>
          <w:sz w:val="22"/>
          <w:lang w:val="fr-FR" w:eastAsia="fr-FR"/>
        </w:rPr>
        <w:t xml:space="preserve">Commandant Benoît HABERBUSCH : </w:t>
      </w:r>
      <w:hyperlink r:id="rId18" w:tgtFrame="mailto:benoit.haberbusch@gendarmerie.interieur.gouv.fr">
        <w:r>
          <w:rPr>
            <w:szCs w:val="22"/>
            <w:lang w:val="fr-FR"/>
          </w:rPr>
          <w:t>benoit.haberbusch@gendarmerie.interieur.gouv.fr</w:t>
        </w:r>
      </w:hyperlink>
    </w:p>
    <w:p>
      <w:pPr>
        <w:pStyle w:val="ListParagraph"/>
        <w:numPr>
          <w:ilvl w:val="0"/>
          <w:numId w:val="3"/>
        </w:numPr>
        <w:spacing w:lineRule="auto" w:line="276" w:before="120" w:after="120"/>
        <w:contextualSpacing/>
        <w:jc w:val="left"/>
        <w:rPr>
          <w:rFonts w:ascii="Arial" w:hAnsi="Arial"/>
          <w:sz w:val="22"/>
          <w:lang w:val="en-US"/>
        </w:rPr>
      </w:pPr>
      <w:r>
        <w:rPr>
          <w:rFonts w:cs="Arial" w:ascii="Arial" w:hAnsi="Arial"/>
          <w:color w:val="000000"/>
          <w:sz w:val="22"/>
          <w:lang w:val="en-US" w:eastAsia="fr-FR"/>
        </w:rPr>
        <w:t xml:space="preserve">Capitaine Thibaut HECKMANN : </w:t>
      </w:r>
      <w:hyperlink r:id="rId19" w:tgtFrame="mailto:thibaut.heckmann@gendarmerie.interieur.gouv.fr">
        <w:r>
          <w:rPr>
            <w:rStyle w:val="LienInternet"/>
            <w:rFonts w:cs="Arial" w:ascii="Arial" w:hAnsi="Arial"/>
            <w:sz w:val="22"/>
            <w:szCs w:val="22"/>
            <w:lang w:val="en-US" w:eastAsia="fr-FR"/>
          </w:rPr>
          <w:t>thibaut.heckmann@gendarmerie.interieur.gouv.fr</w:t>
        </w:r>
      </w:hyperlink>
      <w:r>
        <w:rPr>
          <w:rFonts w:cs="Arial" w:ascii="Arial" w:hAnsi="Arial"/>
          <w:color w:val="0000FF"/>
          <w:sz w:val="22"/>
          <w:lang w:val="en-US" w:eastAsia="fr-FR"/>
        </w:rPr>
        <w:t xml:space="preserve"> </w:t>
      </w:r>
    </w:p>
    <w:p>
      <w:pPr>
        <w:pStyle w:val="ListParagraph"/>
        <w:numPr>
          <w:ilvl w:val="0"/>
          <w:numId w:val="3"/>
        </w:numPr>
        <w:spacing w:lineRule="auto" w:line="276" w:before="120" w:after="120"/>
        <w:contextualSpacing/>
        <w:jc w:val="left"/>
        <w:rPr>
          <w:rFonts w:ascii="Arial" w:hAnsi="Arial" w:eastAsia="Arial" w:cs="Arial"/>
          <w:color w:val="000000"/>
          <w:sz w:val="22"/>
        </w:rPr>
      </w:pPr>
      <w:r>
        <w:rPr>
          <w:rFonts w:eastAsia="Arial" w:cs="Arial" w:ascii="Arial" w:hAnsi="Arial"/>
          <w:color w:val="000000" w:themeColor="text1"/>
          <w:sz w:val="22"/>
        </w:rPr>
        <w:t>Magali JAFFARD : magali.jaffard@safecluster.com</w:t>
      </w:r>
    </w:p>
    <w:p>
      <w:pPr>
        <w:pStyle w:val="ListParagraph"/>
        <w:numPr>
          <w:ilvl w:val="0"/>
          <w:numId w:val="3"/>
        </w:numPr>
        <w:spacing w:before="120" w:after="120"/>
        <w:contextualSpacing/>
        <w:rPr>
          <w:rFonts w:ascii="Arial" w:hAnsi="Arial"/>
          <w:sz w:val="22"/>
        </w:rPr>
      </w:pPr>
      <w:r>
        <w:rPr>
          <w:rFonts w:ascii="Arial" w:hAnsi="Arial"/>
          <w:sz w:val="22"/>
        </w:rPr>
        <w:t xml:space="preserve">Marie-Christine LACOUR, CODATA-France, </w:t>
      </w:r>
      <w:hyperlink r:id="rId20" w:tgtFrame="mailto:marie-christine.lacour0809@orange.fr">
        <w:r>
          <w:rPr>
            <w:rStyle w:val="LienInternet"/>
            <w:rFonts w:ascii="Arial" w:hAnsi="Arial"/>
            <w:sz w:val="22"/>
          </w:rPr>
          <w:t>marie-christine.lacour0809@orange.fr</w:t>
        </w:r>
      </w:hyperlink>
    </w:p>
    <w:p>
      <w:pPr>
        <w:pStyle w:val="Normal"/>
        <w:spacing w:before="0" w:after="140"/>
        <w:ind w:hanging="360"/>
        <w:jc w:val="left"/>
        <w:rPr>
          <w:rFonts w:ascii="Arial" w:hAnsi="Arial" w:eastAsia="Arial" w:cs="Arial" w:eastAsiaTheme="minorEastAsia"/>
          <w:b/>
          <w:b/>
          <w:bCs/>
          <w:color w:val="000000"/>
          <w:lang w:eastAsia="fr-FR"/>
        </w:rPr>
      </w:pPr>
      <w:r>
        <w:rPr>
          <w:rFonts w:eastAsia="Arial" w:cs="Arial" w:ascii="Arial" w:hAnsi="Arial" w:eastAsiaTheme="minorEastAsia"/>
          <w:b/>
          <w:bCs/>
          <w:color w:val="000000"/>
          <w:lang w:eastAsia="fr-FR"/>
        </w:rPr>
        <w:tab/>
        <w:t>Partenaires :</w:t>
      </w:r>
    </w:p>
    <w:tbl>
      <w:tblPr>
        <w:tblStyle w:val="Grilledutableau"/>
        <w:tblW w:w="5008" w:type="dxa"/>
        <w:jc w:val="center"/>
        <w:tblInd w:w="0" w:type="dxa"/>
        <w:tblCellMar>
          <w:top w:w="0" w:type="dxa"/>
          <w:left w:w="108" w:type="dxa"/>
          <w:bottom w:w="0" w:type="dxa"/>
          <w:right w:w="108" w:type="dxa"/>
        </w:tblCellMar>
        <w:tblLook w:val="04a0" w:noHBand="0" w:noVBand="1" w:firstColumn="1" w:lastRow="0" w:lastColumn="0" w:firstRow="1"/>
      </w:tblPr>
      <w:tblGrid>
        <w:gridCol w:w="2598"/>
        <w:gridCol w:w="2409"/>
      </w:tblGrid>
      <w:tr>
        <w:trPr/>
        <w:tc>
          <w:tcPr>
            <w:tcW w:w="2598" w:type="dxa"/>
            <w:tcBorders>
              <w:top w:val="nil"/>
              <w:left w:val="nil"/>
              <w:bottom w:val="nil"/>
              <w:right w:val="nil"/>
            </w:tcBorders>
            <w:vAlign w:val="center"/>
          </w:tcPr>
          <w:p>
            <w:pPr>
              <w:pStyle w:val="Normal"/>
              <w:spacing w:before="0" w:after="140"/>
              <w:jc w:val="left"/>
              <w:rPr>
                <w:rFonts w:ascii="Arial" w:hAnsi="Arial"/>
              </w:rPr>
            </w:pPr>
            <w:r>
              <w:rPr/>
              <w:drawing>
                <wp:inline distT="0" distB="0" distL="0" distR="0">
                  <wp:extent cx="821055" cy="548640"/>
                  <wp:effectExtent l="0" t="0" r="0" b="0"/>
                  <wp:docPr id="3" name="Image 3" descr="Macintosh HD:Users:nathaliefabry:Desktop:cmhfggociecgbo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Macintosh HD:Users:nathaliefabry:Desktop:cmhfggociecgbodd.png"/>
                          <pic:cNvPicPr>
                            <a:picLocks noChangeAspect="1" noChangeArrowheads="1"/>
                          </pic:cNvPicPr>
                        </pic:nvPicPr>
                        <pic:blipFill>
                          <a:blip r:embed="rId21"/>
                          <a:stretch>
                            <a:fillRect/>
                          </a:stretch>
                        </pic:blipFill>
                        <pic:spPr bwMode="auto">
                          <a:xfrm>
                            <a:off x="0" y="0"/>
                            <a:ext cx="821055" cy="548640"/>
                          </a:xfrm>
                          <a:prstGeom prst="rect">
                            <a:avLst/>
                          </a:prstGeom>
                        </pic:spPr>
                      </pic:pic>
                    </a:graphicData>
                  </a:graphic>
                </wp:inline>
              </w:drawing>
            </w:r>
          </w:p>
        </w:tc>
        <w:tc>
          <w:tcPr>
            <w:tcW w:w="2409" w:type="dxa"/>
            <w:tcBorders>
              <w:top w:val="nil"/>
              <w:left w:val="nil"/>
              <w:bottom w:val="nil"/>
              <w:right w:val="nil"/>
            </w:tcBorders>
            <w:vAlign w:val="center"/>
          </w:tcPr>
          <w:p>
            <w:pPr>
              <w:pStyle w:val="Normal"/>
              <w:spacing w:before="0" w:after="140"/>
              <w:jc w:val="left"/>
              <w:rPr>
                <w:rFonts w:ascii="Arial" w:hAnsi="Arial"/>
              </w:rPr>
            </w:pPr>
            <w:r>
              <w:rPr/>
              <w:drawing>
                <wp:inline distT="0" distB="0" distL="0" distR="0">
                  <wp:extent cx="1096645" cy="337185"/>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22"/>
                          <a:stretch>
                            <a:fillRect/>
                          </a:stretch>
                        </pic:blipFill>
                        <pic:spPr bwMode="auto">
                          <a:xfrm>
                            <a:off x="0" y="0"/>
                            <a:ext cx="1096645" cy="337185"/>
                          </a:xfrm>
                          <a:prstGeom prst="rect">
                            <a:avLst/>
                          </a:prstGeom>
                        </pic:spPr>
                      </pic:pic>
                    </a:graphicData>
                  </a:graphic>
                </wp:inline>
              </w:drawing>
            </w:r>
          </w:p>
        </w:tc>
      </w:tr>
      <w:tr>
        <w:trPr/>
        <w:tc>
          <w:tcPr>
            <w:tcW w:w="2598" w:type="dxa"/>
            <w:tcBorders>
              <w:top w:val="nil"/>
              <w:left w:val="nil"/>
              <w:bottom w:val="nil"/>
              <w:right w:val="nil"/>
            </w:tcBorders>
            <w:vAlign w:val="center"/>
          </w:tcPr>
          <w:p>
            <w:pPr>
              <w:pStyle w:val="Normal"/>
              <w:spacing w:before="0" w:after="140"/>
              <w:jc w:val="left"/>
              <w:rPr>
                <w:rFonts w:ascii="Arial" w:hAnsi="Arial"/>
              </w:rPr>
            </w:pPr>
            <w:r>
              <w:rPr>
                <w:rFonts w:ascii="Arial" w:hAnsi="Arial"/>
              </w:rPr>
            </w:r>
          </w:p>
        </w:tc>
        <w:tc>
          <w:tcPr>
            <w:tcW w:w="2409" w:type="dxa"/>
            <w:tcBorders>
              <w:top w:val="nil"/>
              <w:left w:val="nil"/>
              <w:bottom w:val="nil"/>
              <w:right w:val="nil"/>
            </w:tcBorders>
            <w:vAlign w:val="center"/>
          </w:tcPr>
          <w:p>
            <w:pPr>
              <w:pStyle w:val="Normal"/>
              <w:spacing w:before="0" w:after="140"/>
              <w:jc w:val="left"/>
              <w:rPr>
                <w:rFonts w:ascii="Arial" w:hAnsi="Arial"/>
              </w:rPr>
            </w:pPr>
            <w:r>
              <w:rPr/>
              <w:drawing>
                <wp:inline distT="0" distB="0" distL="0" distR="0">
                  <wp:extent cx="616585" cy="531495"/>
                  <wp:effectExtent l="0" t="0" r="0" b="0"/>
                  <wp:docPr id="5" name="Image 6" descr="Macintosh HD:Users:nathaliefabry: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descr="Macintosh HD:Users:nathaliefabry:Desktop:Unknown-1.jpeg"/>
                          <pic:cNvPicPr>
                            <a:picLocks noChangeAspect="1" noChangeArrowheads="1"/>
                          </pic:cNvPicPr>
                        </pic:nvPicPr>
                        <pic:blipFill>
                          <a:blip r:embed="rId23"/>
                          <a:stretch>
                            <a:fillRect/>
                          </a:stretch>
                        </pic:blipFill>
                        <pic:spPr bwMode="auto">
                          <a:xfrm>
                            <a:off x="0" y="0"/>
                            <a:ext cx="616585" cy="531495"/>
                          </a:xfrm>
                          <a:prstGeom prst="rect">
                            <a:avLst/>
                          </a:prstGeom>
                        </pic:spPr>
                      </pic:pic>
                    </a:graphicData>
                  </a:graphic>
                </wp:inline>
              </w:drawing>
            </w:r>
          </w:p>
        </w:tc>
      </w:tr>
      <w:tr>
        <w:trPr/>
        <w:tc>
          <w:tcPr>
            <w:tcW w:w="5007" w:type="dxa"/>
            <w:gridSpan w:val="2"/>
            <w:tcBorders>
              <w:top w:val="nil"/>
              <w:left w:val="nil"/>
              <w:bottom w:val="nil"/>
              <w:right w:val="nil"/>
            </w:tcBorders>
            <w:vAlign w:val="center"/>
          </w:tcPr>
          <w:p>
            <w:pPr>
              <w:pStyle w:val="Normal"/>
              <w:spacing w:before="0" w:after="140"/>
              <w:jc w:val="center"/>
              <w:rPr>
                <w:rFonts w:ascii="Arial" w:hAnsi="Arial"/>
              </w:rPr>
            </w:pPr>
            <w:r>
              <w:rPr/>
              <w:drawing>
                <wp:inline distT="0" distB="0" distL="0" distR="0">
                  <wp:extent cx="975360" cy="649605"/>
                  <wp:effectExtent l="0" t="0" r="0" b="0"/>
                  <wp:docPr id="6" name="Image 7" descr="Macintosh HD:Users:nathaliefabry:Desktop:Unknow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7" descr="Macintosh HD:Users:nathaliefabry:Desktop:Unknown-1.png"/>
                          <pic:cNvPicPr>
                            <a:picLocks noChangeAspect="1" noChangeArrowheads="1"/>
                          </pic:cNvPicPr>
                        </pic:nvPicPr>
                        <pic:blipFill>
                          <a:blip r:embed="rId24"/>
                          <a:stretch>
                            <a:fillRect/>
                          </a:stretch>
                        </pic:blipFill>
                        <pic:spPr bwMode="auto">
                          <a:xfrm>
                            <a:off x="0" y="0"/>
                            <a:ext cx="975360" cy="649605"/>
                          </a:xfrm>
                          <a:prstGeom prst="rect">
                            <a:avLst/>
                          </a:prstGeom>
                        </pic:spPr>
                      </pic:pic>
                    </a:graphicData>
                  </a:graphic>
                </wp:inline>
              </w:drawing>
            </w:r>
            <w:r>
              <w:rPr/>
              <w:drawing>
                <wp:inline distT="0" distB="0" distL="0" distR="0">
                  <wp:extent cx="1476375" cy="516890"/>
                  <wp:effectExtent l="0" t="0" r="0" b="0"/>
                  <wp:docPr id="7"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8" descr=""/>
                          <pic:cNvPicPr>
                            <a:picLocks noChangeAspect="1" noChangeArrowheads="1"/>
                          </pic:cNvPicPr>
                        </pic:nvPicPr>
                        <pic:blipFill>
                          <a:blip r:embed="rId25"/>
                          <a:stretch>
                            <a:fillRect/>
                          </a:stretch>
                        </pic:blipFill>
                        <pic:spPr bwMode="auto">
                          <a:xfrm>
                            <a:off x="0" y="0"/>
                            <a:ext cx="1476375" cy="516890"/>
                          </a:xfrm>
                          <a:prstGeom prst="rect">
                            <a:avLst/>
                          </a:prstGeom>
                        </pic:spPr>
                      </pic:pic>
                    </a:graphicData>
                  </a:graphic>
                </wp:inline>
              </w:drawing>
            </w:r>
          </w:p>
        </w:tc>
      </w:tr>
    </w:tbl>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
    </w:p>
    <w:sectPr>
      <w:type w:val="nextPage"/>
      <w:pgSz w:w="11906" w:h="16838"/>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Helvetica">
    <w:altName w:val="Arial"/>
    <w:charset w:val="01"/>
    <w:family w:val="roman"/>
    <w:pitch w:val="variable"/>
  </w:font>
  <w:font w:name="Calibri">
    <w:charset w:val="01"/>
    <w:family w:val="roman"/>
    <w:pitch w:val="variable"/>
  </w:font>
  <w:font w:name="Garamond">
    <w:charset w:val="01"/>
    <w:family w:val="roman"/>
    <w:pitch w:val="variable"/>
  </w:font>
  <w:font w:name="Arial">
    <w:charset w:val="01"/>
    <w:family w:val="roman"/>
    <w:pitch w:val="variable"/>
  </w:font>
  <w:font w:name="baskerville semibold">
    <w:charset w:val="01"/>
    <w:family w:val="roman"/>
    <w:pitch w:val="variable"/>
  </w:font>
  <w:font w:name="Segoe UI">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Times New Roman" w:eastAsiaTheme="minorEastAsia"/>
        <w:szCs w:val="22"/>
        <w:lang w:val="fr-FR"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both"/>
    </w:pPr>
    <w:rPr>
      <w:rFonts w:ascii="Cambria" w:hAnsi="Cambria" w:eastAsia="Cambria" w:cs="Arial" w:cstheme="minorBidi" w:eastAsiaTheme="minorHAnsi"/>
      <w:color w:val="00000A"/>
      <w:kern w:val="0"/>
      <w:sz w:val="22"/>
      <w:szCs w:val="22"/>
      <w:lang w:val="fr-FR" w:eastAsia="en-US" w:bidi="ar-SA"/>
    </w:rPr>
  </w:style>
  <w:style w:type="paragraph" w:styleId="Titre1">
    <w:name w:val="Heading 1"/>
    <w:basedOn w:val="Normal"/>
    <w:link w:val="Titre1Car"/>
    <w:uiPriority w:val="1"/>
    <w:qFormat/>
    <w:pPr>
      <w:keepNext w:val="true"/>
      <w:keepLines/>
      <w:spacing w:lineRule="auto" w:line="360" w:before="120" w:after="960"/>
      <w:jc w:val="center"/>
      <w:outlineLvl w:val="0"/>
    </w:pPr>
    <w:rPr>
      <w:rFonts w:eastAsia="Arial" w:cs="Times New Roman"/>
      <w:b/>
      <w:bCs/>
      <w:smallCaps/>
      <w:spacing w:val="20"/>
      <w:sz w:val="32"/>
      <w:szCs w:val="32"/>
      <w:lang w:bidi="hi-IN"/>
    </w:rPr>
  </w:style>
  <w:style w:type="paragraph" w:styleId="Titre2">
    <w:name w:val="Heading 2"/>
    <w:basedOn w:val="Normal"/>
    <w:next w:val="Normal"/>
    <w:link w:val="Titre2Car"/>
    <w:qFormat/>
    <w:pPr>
      <w:keepNext w:val="true"/>
      <w:pBdr>
        <w:bottom w:val="single" w:sz="4" w:space="1" w:color="00000A"/>
      </w:pBdr>
      <w:spacing w:before="360" w:after="360"/>
      <w:outlineLvl w:val="1"/>
    </w:pPr>
    <w:rPr>
      <w:rFonts w:ascii="Helvetica" w:hAnsi="Helvetica" w:eastAsia="ヒラギノ角ゴ pro w3"/>
      <w:b/>
      <w:color w:val="000000"/>
      <w:sz w:val="28"/>
      <w:szCs w:val="20"/>
    </w:rPr>
  </w:style>
  <w:style w:type="paragraph" w:styleId="Titre3">
    <w:name w:val="Heading 3"/>
    <w:basedOn w:val="Normal"/>
    <w:next w:val="Normal"/>
    <w:link w:val="Titre3Car"/>
    <w:uiPriority w:val="9"/>
    <w:unhideWhenUsed/>
    <w:qFormat/>
    <w:pPr>
      <w:keepNext w:val="true"/>
      <w:keepLines/>
      <w:spacing w:before="200" w:after="0"/>
      <w:outlineLvl w:val="2"/>
    </w:pPr>
    <w:rPr>
      <w:rFonts w:ascii="Calibri" w:hAnsi="Calibri" w:eastAsia="Arial" w:cs="Arial" w:asciiTheme="majorHAnsi" w:cstheme="majorBidi" w:eastAsiaTheme="majorEastAsia" w:hAnsiTheme="majorHAnsi"/>
      <w:b/>
      <w:bCs/>
      <w:sz w:val="24"/>
      <w:szCs w:val="24"/>
    </w:rPr>
  </w:style>
  <w:style w:type="paragraph" w:styleId="Titre4">
    <w:name w:val="Heading 4"/>
    <w:basedOn w:val="Normal"/>
    <w:next w:val="Normal"/>
    <w:link w:val="Titre4Car"/>
    <w:uiPriority w:val="9"/>
    <w:unhideWhenUsed/>
    <w:qFormat/>
    <w:pPr>
      <w:keepNext w:val="true"/>
      <w:keepLines/>
      <w:spacing w:before="200" w:after="0"/>
      <w:outlineLvl w:val="3"/>
    </w:pPr>
    <w:rPr>
      <w:rFonts w:ascii="Calibri" w:hAnsi="Calibri" w:eastAsia="Arial" w:cs="Arial" w:asciiTheme="majorHAnsi" w:cstheme="majorBidi" w:eastAsiaTheme="majorEastAsia" w:hAnsiTheme="majorHAnsi"/>
      <w:b/>
      <w:bCs/>
      <w:i/>
      <w:iCs/>
      <w:sz w:val="24"/>
      <w:szCs w:val="24"/>
    </w:rPr>
  </w:style>
  <w:style w:type="paragraph" w:styleId="Titre5">
    <w:name w:val="Heading 5"/>
    <w:basedOn w:val="Normal"/>
    <w:link w:val="Titre5Car"/>
    <w:qFormat/>
    <w:pPr>
      <w:keepNext w:val="true"/>
      <w:keepLines/>
      <w:spacing w:lineRule="atLeast" w:line="240"/>
      <w:outlineLvl w:val="4"/>
    </w:pPr>
    <w:rPr>
      <w:rFonts w:ascii="Garamond" w:hAnsi="Garamond"/>
    </w:rPr>
  </w:style>
  <w:style w:type="paragraph" w:styleId="Titre6">
    <w:name w:val="Heading 6"/>
    <w:basedOn w:val="Normal"/>
    <w:link w:val="Titre6Car"/>
    <w:uiPriority w:val="1"/>
    <w:qFormat/>
    <w:pPr>
      <w:keepNext w:val="true"/>
      <w:keepLines/>
      <w:spacing w:lineRule="atLeast" w:line="240" w:before="240" w:after="120"/>
      <w:outlineLvl w:val="5"/>
    </w:pPr>
    <w:rPr>
      <w:rFonts w:eastAsia="Arial" w:cs="Times New Roman" w:eastAsiaTheme="minorEastAsia"/>
      <w:i/>
      <w:spacing w:val="5"/>
      <w:lang w:bidi="hi-IN"/>
    </w:rPr>
  </w:style>
  <w:style w:type="paragraph" w:styleId="Titre7">
    <w:name w:val="Heading 7"/>
    <w:basedOn w:val="Normal"/>
    <w:next w:val="Normal"/>
    <w:link w:val="Titre7Car"/>
    <w:uiPriority w:val="9"/>
    <w:unhideWhenUsed/>
    <w:qFormat/>
    <w:pPr>
      <w:keepNext w:val="true"/>
      <w:keepLines/>
      <w:spacing w:before="320" w:after="200"/>
      <w:outlineLvl w:val="6"/>
    </w:pPr>
    <w:rPr>
      <w:rFonts w:ascii="Arial" w:hAnsi="Arial" w:eastAsia="Arial" w:cs="Arial"/>
      <w:b/>
      <w:bCs/>
      <w:i/>
      <w:iCs/>
    </w:rPr>
  </w:style>
  <w:style w:type="paragraph" w:styleId="Titre8">
    <w:name w:val="Heading 8"/>
    <w:basedOn w:val="Normal"/>
    <w:next w:val="Normal"/>
    <w:link w:val="Titre8Car"/>
    <w:uiPriority w:val="9"/>
    <w:unhideWhenUsed/>
    <w:qFormat/>
    <w:pPr>
      <w:keepNext w:val="true"/>
      <w:keepLines/>
      <w:spacing w:before="320" w:after="200"/>
      <w:outlineLvl w:val="7"/>
    </w:pPr>
    <w:rPr>
      <w:rFonts w:ascii="Arial" w:hAnsi="Arial" w:eastAsia="Arial" w:cs="Arial"/>
      <w:i/>
      <w:iCs/>
    </w:rPr>
  </w:style>
  <w:style w:type="paragraph" w:styleId="Titre9">
    <w:name w:val="Heading 9"/>
    <w:basedOn w:val="Normal"/>
    <w:next w:val="Normal"/>
    <w:link w:val="Titre9Car"/>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link w:val="Titre7"/>
    <w:uiPriority w:val="9"/>
    <w:qFormat/>
    <w:rPr>
      <w:rFonts w:ascii="Arial" w:hAnsi="Arial" w:eastAsia="Arial" w:cs="Arial"/>
      <w:b/>
      <w:bCs/>
      <w:i/>
      <w:iCs/>
      <w:sz w:val="22"/>
      <w:szCs w:val="22"/>
    </w:rPr>
  </w:style>
  <w:style w:type="character" w:styleId="Titre8Car" w:customStyle="1">
    <w:name w:val="Titre 8 Car"/>
    <w:basedOn w:val="DefaultParagraphFont"/>
    <w:link w:val="Titre8"/>
    <w:uiPriority w:val="9"/>
    <w:qFormat/>
    <w:rPr>
      <w:rFonts w:ascii="Arial" w:hAnsi="Arial" w:eastAsia="Arial" w:cs="Arial"/>
      <w:i/>
      <w:iCs/>
      <w:sz w:val="22"/>
      <w:szCs w:val="22"/>
    </w:rPr>
  </w:style>
  <w:style w:type="character" w:styleId="Titre9Car" w:customStyle="1">
    <w:name w:val="Titre 9 Car"/>
    <w:basedOn w:val="DefaultParagraphFont"/>
    <w:link w:val="Titre9"/>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oustitreCar" w:customStyle="1">
    <w:name w:val="Sous-titre Car"/>
    <w:basedOn w:val="DefaultParagraphFont"/>
    <w:link w:val="Sous-titre"/>
    <w:uiPriority w:val="11"/>
    <w:qFormat/>
    <w:rPr>
      <w:sz w:val="24"/>
      <w:szCs w:val="24"/>
    </w:rPr>
  </w:style>
  <w:style w:type="character" w:styleId="QuoteChar" w:customStyle="1">
    <w:name w:val="Quote Char"/>
    <w:uiPriority w:val="29"/>
    <w:qFormat/>
    <w:rPr>
      <w:i/>
    </w:rPr>
  </w:style>
  <w:style w:type="character" w:styleId="CitationintenseCar" w:customStyle="1">
    <w:name w:val="Citation intense Car"/>
    <w:link w:val="Citationintense"/>
    <w:uiPriority w:val="30"/>
    <w:qFormat/>
    <w:rPr>
      <w:i/>
    </w:rPr>
  </w:style>
  <w:style w:type="character" w:styleId="EntteCar" w:customStyle="1">
    <w:name w:val="En-tête Car"/>
    <w:basedOn w:val="DefaultParagraphFont"/>
    <w:link w:val="En-tte"/>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Pieddepage"/>
    <w:uiPriority w:val="99"/>
    <w:qFormat/>
    <w:rPr/>
  </w:style>
  <w:style w:type="character" w:styleId="FootnoteTextChar" w:customStyle="1">
    <w:name w:val="Footnote Text Char"/>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Notedefin"/>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Titre2Car" w:customStyle="1">
    <w:name w:val="Titre 2 Car"/>
    <w:basedOn w:val="DefaultParagraphFont"/>
    <w:link w:val="Titre2"/>
    <w:qFormat/>
    <w:rPr>
      <w:rFonts w:ascii="Helvetica" w:hAnsi="Helvetica" w:eastAsia="ヒラギノ角ゴ pro w3"/>
      <w:b/>
      <w:color w:val="000000"/>
      <w:sz w:val="28"/>
      <w:szCs w:val="20"/>
    </w:rPr>
  </w:style>
  <w:style w:type="character" w:styleId="NotedebasdepageCar" w:customStyle="1">
    <w:name w:val="Note de bas de page Car"/>
    <w:basedOn w:val="DefaultParagraphFont"/>
    <w:link w:val="Notedebasdepage"/>
    <w:qFormat/>
    <w:rPr>
      <w:rFonts w:ascii="Garamond" w:hAnsi="Garamond" w:cs="Garamond"/>
      <w:lang w:eastAsia="en-US" w:bidi="hi-IN"/>
    </w:rPr>
  </w:style>
  <w:style w:type="character" w:styleId="Titre1Car" w:customStyle="1">
    <w:name w:val="Titre 1 Car"/>
    <w:basedOn w:val="DefaultParagraphFont"/>
    <w:link w:val="Titre1"/>
    <w:uiPriority w:val="1"/>
    <w:qFormat/>
    <w:rPr>
      <w:rFonts w:eastAsia="Arial"/>
      <w:b/>
      <w:bCs/>
      <w:smallCaps/>
      <w:spacing w:val="20"/>
      <w:sz w:val="32"/>
      <w:szCs w:val="32"/>
      <w:lang w:eastAsia="en-US" w:bidi="hi-IN"/>
    </w:rPr>
  </w:style>
  <w:style w:type="character" w:styleId="CitationCar" w:customStyle="1">
    <w:name w:val="Citation Car"/>
    <w:basedOn w:val="DefaultParagraphFont"/>
    <w:link w:val="Citation"/>
    <w:qFormat/>
    <w:rPr>
      <w:i/>
      <w:iCs/>
      <w:color w:val="000000" w:themeColor="text1"/>
      <w:sz w:val="24"/>
    </w:rPr>
  </w:style>
  <w:style w:type="character" w:styleId="Aucun" w:customStyle="1">
    <w:name w:val="Aucun"/>
    <w:qFormat/>
    <w:rPr>
      <w:lang w:val="fr-FR"/>
    </w:rPr>
  </w:style>
  <w:style w:type="character" w:styleId="TitreCar" w:customStyle="1">
    <w:name w:val="Titre Car"/>
    <w:basedOn w:val="DefaultParagraphFont"/>
    <w:link w:val="Titre"/>
    <w:uiPriority w:val="10"/>
    <w:qFormat/>
    <w:rPr>
      <w:rFonts w:ascii="baskerville semibold" w:hAnsi="baskerville semibold" w:eastAsia="Arial" w:cs="Arial" w:cstheme="majorBidi" w:eastAsiaTheme="majorEastAsia"/>
      <w:spacing w:val="5"/>
      <w:sz w:val="56"/>
      <w:szCs w:val="52"/>
    </w:rPr>
  </w:style>
  <w:style w:type="character" w:styleId="Titre3Car" w:customStyle="1">
    <w:name w:val="Titre 3 Car"/>
    <w:basedOn w:val="DefaultParagraphFont"/>
    <w:link w:val="Titre3"/>
    <w:uiPriority w:val="9"/>
    <w:qFormat/>
    <w:rPr>
      <w:rFonts w:ascii="Calibri" w:hAnsi="Calibri" w:eastAsia="Arial" w:cs="Arial" w:asciiTheme="majorHAnsi" w:cstheme="majorBidi" w:eastAsiaTheme="majorEastAsia" w:hAnsiTheme="majorHAnsi"/>
      <w:b/>
      <w:bCs/>
      <w:sz w:val="24"/>
      <w:szCs w:val="24"/>
      <w:lang w:eastAsia="en-US"/>
    </w:rPr>
  </w:style>
  <w:style w:type="character" w:styleId="Titre4Car" w:customStyle="1">
    <w:name w:val="Titre 4 Car"/>
    <w:basedOn w:val="DefaultParagraphFont"/>
    <w:link w:val="Titre4"/>
    <w:uiPriority w:val="9"/>
    <w:qFormat/>
    <w:rPr>
      <w:rFonts w:ascii="Calibri" w:hAnsi="Calibri" w:eastAsia="Arial" w:cs="Arial" w:asciiTheme="majorHAnsi" w:cstheme="majorBidi" w:eastAsiaTheme="majorEastAsia" w:hAnsiTheme="majorHAnsi"/>
      <w:b/>
      <w:bCs/>
      <w:i/>
      <w:iCs/>
      <w:sz w:val="24"/>
      <w:szCs w:val="24"/>
      <w:lang w:eastAsia="en-US"/>
    </w:rPr>
  </w:style>
  <w:style w:type="character" w:styleId="CorpsdetexteCar" w:customStyle="1">
    <w:name w:val="Corps de texte Car"/>
    <w:basedOn w:val="DefaultParagraphFont"/>
    <w:link w:val="Corpsdetexte"/>
    <w:uiPriority w:val="99"/>
    <w:semiHidden/>
    <w:qFormat/>
    <w:rPr>
      <w:rFonts w:ascii="Garamond" w:hAnsi="Garamond" w:eastAsia="Times New Roman" w:cs="Garamond"/>
      <w:sz w:val="24"/>
      <w:lang w:val="en-US" w:eastAsia="en-US" w:bidi="hi-IN"/>
    </w:rPr>
  </w:style>
  <w:style w:type="character" w:styleId="Titre5Car" w:customStyle="1">
    <w:name w:val="Titre 5 Car"/>
    <w:basedOn w:val="DefaultParagraphFont"/>
    <w:link w:val="Titre5"/>
    <w:qFormat/>
    <w:rPr>
      <w:rFonts w:ascii="Garamond" w:hAnsi="Garamond" w:eastAsia="Times New Roman"/>
      <w:lang w:eastAsia="en-US" w:bidi="hi-IN"/>
    </w:rPr>
  </w:style>
  <w:style w:type="character" w:styleId="Titre6Car" w:customStyle="1">
    <w:name w:val="Titre 6 Car"/>
    <w:basedOn w:val="DefaultParagraphFont"/>
    <w:link w:val="Titre6"/>
    <w:uiPriority w:val="1"/>
    <w:qFormat/>
    <w:rPr>
      <w:i/>
      <w:spacing w:val="5"/>
      <w:lang w:eastAsia="en-US" w:bidi="hi-IN"/>
    </w:rPr>
  </w:style>
  <w:style w:type="character" w:styleId="ParagraphedelisteCar" w:customStyle="1">
    <w:name w:val="Paragraphe de liste Car"/>
    <w:basedOn w:val="DefaultParagraphFont"/>
    <w:link w:val="Paragraphedeliste"/>
    <w:uiPriority w:val="34"/>
    <w:qFormat/>
    <w:rPr>
      <w:rFonts w:ascii="Cambria" w:hAnsi="Cambria"/>
      <w:color w:val="00000A"/>
      <w:spacing w:val="-2"/>
      <w:sz w:val="24"/>
      <w:szCs w:val="18"/>
      <w:lang w:val="fr-CA"/>
    </w:rPr>
  </w:style>
  <w:style w:type="character" w:styleId="LienInternet">
    <w:name w:val="Lien Internet"/>
    <w:basedOn w:val="DefaultParagraphFont"/>
    <w:uiPriority w:val="99"/>
    <w:unhideWhenUsed/>
    <w:rPr>
      <w:color w:val="0000FF" w:themeColor="hyperlink"/>
      <w:u w:val="single"/>
    </w:rPr>
  </w:style>
  <w:style w:type="character" w:styleId="Accentuation">
    <w:name w:val="Accentuation"/>
    <w:qFormat/>
    <w:rPr>
      <w:i/>
      <w:iCs/>
    </w:rPr>
  </w:style>
  <w:style w:type="character" w:styleId="Accentuationforte" w:customStyle="1">
    <w:name w:val="Accentuation forte"/>
    <w:qFormat/>
    <w:rPr>
      <w:b/>
      <w:bCs/>
    </w:rPr>
  </w:style>
  <w:style w:type="character" w:styleId="TextedebullesCar" w:customStyle="1">
    <w:name w:val="Texte de bulles Car"/>
    <w:basedOn w:val="DefaultParagraphFont"/>
    <w:link w:val="Textedebulles"/>
    <w:uiPriority w:val="99"/>
    <w:semiHidden/>
    <w:qFormat/>
    <w:rsid w:val="00922612"/>
    <w:rPr>
      <w:rFonts w:ascii="Segoe UI" w:hAnsi="Segoe UI" w:eastAsia="Cambria" w:cs="Segoe UI" w:eastAsiaTheme="minorHAnsi"/>
      <w:color w:val="00000A"/>
      <w:sz w:val="18"/>
      <w:szCs w:val="18"/>
      <w:lang w:eastAsia="en-U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uiPriority w:val="99"/>
    <w:semiHidden/>
    <w:unhideWhenUsed/>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NoSpacing">
    <w:name w:val="No Spacing"/>
    <w:uiPriority w:val="1"/>
    <w:qFormat/>
    <w:pPr>
      <w:widowControl/>
      <w:suppressAutoHyphens w:val="true"/>
      <w:bidi w:val="0"/>
      <w:spacing w:before="0" w:after="0"/>
      <w:jc w:val="left"/>
    </w:pPr>
    <w:rPr>
      <w:rFonts w:ascii="Times New Roman" w:hAnsi="Times New Roman" w:eastAsia="Arial" w:cs="Times New Roman" w:eastAsiaTheme="minorEastAsia"/>
      <w:color w:val="auto"/>
      <w:kern w:val="0"/>
      <w:sz w:val="22"/>
      <w:szCs w:val="22"/>
      <w:lang w:val="fr-FR" w:eastAsia="ja-JP" w:bidi="ar-SA"/>
    </w:rPr>
  </w:style>
  <w:style w:type="paragraph" w:styleId="Soustitre">
    <w:name w:val="Subtitle"/>
    <w:basedOn w:val="Normal"/>
    <w:next w:val="Normal"/>
    <w:link w:val="Sous-titreCar"/>
    <w:uiPriority w:val="11"/>
    <w:qFormat/>
    <w:pPr>
      <w:spacing w:before="200" w:after="200"/>
    </w:pPr>
    <w:rPr>
      <w:sz w:val="24"/>
      <w:szCs w:val="24"/>
    </w:rPr>
  </w:style>
  <w:style w:type="paragraph" w:styleId="IntenseQuot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Entteetpieddepage">
    <w:name w:val="En-tête et pied de page"/>
    <w:basedOn w:val="Normal"/>
    <w:qFormat/>
    <w:pPr/>
    <w:rPr/>
  </w:style>
  <w:style w:type="paragraph" w:styleId="Entte">
    <w:name w:val="Header"/>
    <w:basedOn w:val="Normal"/>
    <w:link w:val="En-tteCar"/>
    <w:uiPriority w:val="99"/>
    <w:unhideWhenUsed/>
    <w:pPr>
      <w:tabs>
        <w:tab w:val="clear" w:pos="708"/>
        <w:tab w:val="center" w:pos="7143" w:leader="none"/>
        <w:tab w:val="right" w:pos="14287" w:leader="none"/>
      </w:tabs>
    </w:pPr>
    <w:rPr/>
  </w:style>
  <w:style w:type="paragraph" w:styleId="Pieddepage">
    <w:name w:val="Footer"/>
    <w:basedOn w:val="Normal"/>
    <w:link w:val="PieddepageCar"/>
    <w:uiPriority w:val="99"/>
    <w:unhideWhenUsed/>
    <w:pPr>
      <w:tabs>
        <w:tab w:val="clear" w:pos="708"/>
        <w:tab w:val="center" w:pos="7143" w:leader="none"/>
        <w:tab w:val="right" w:pos="14287" w:leader="none"/>
      </w:tabs>
    </w:pPr>
    <w:rPr/>
  </w:style>
  <w:style w:type="paragraph" w:styleId="Notedefin">
    <w:name w:val="Endnote Text"/>
    <w:basedOn w:val="Normal"/>
    <w:link w:val="NotedefinCar"/>
    <w:uiPriority w:val="99"/>
    <w:semiHidden/>
    <w:unhideWhenUsed/>
    <w:pPr/>
    <w:rPr>
      <w:sz w:val="20"/>
    </w:rPr>
  </w:style>
  <w:style w:type="paragraph" w:styleId="Tabledesmatiresniveau1">
    <w:name w:val="TOC 1"/>
    <w:basedOn w:val="Normal"/>
    <w:next w:val="Normal"/>
    <w:uiPriority w:val="39"/>
    <w:unhideWhenUsed/>
    <w:pPr>
      <w:spacing w:before="0" w:after="57"/>
    </w:pPr>
    <w:rPr/>
  </w:style>
  <w:style w:type="paragraph" w:styleId="Tabledesmatiresniveau3">
    <w:name w:val="TOC 3"/>
    <w:basedOn w:val="Normal"/>
    <w:next w:val="Normal"/>
    <w:uiPriority w:val="39"/>
    <w:unhideWhenUsed/>
    <w:pPr>
      <w:spacing w:before="0" w:after="57"/>
      <w:ind w:left="567" w:hanging="0"/>
    </w:pPr>
    <w:rPr/>
  </w:style>
  <w:style w:type="paragraph" w:styleId="Tabledesmatiresniveau4">
    <w:name w:val="TOC 4"/>
    <w:basedOn w:val="Normal"/>
    <w:next w:val="Normal"/>
    <w:uiPriority w:val="39"/>
    <w:unhideWhenUsed/>
    <w:pPr>
      <w:spacing w:before="0" w:after="57"/>
      <w:ind w:left="850" w:hanging="0"/>
    </w:pPr>
    <w:rPr/>
  </w:style>
  <w:style w:type="paragraph" w:styleId="Tabledesmatiresniveau5">
    <w:name w:val="TOC 5"/>
    <w:basedOn w:val="Normal"/>
    <w:next w:val="Normal"/>
    <w:uiPriority w:val="39"/>
    <w:unhideWhenUsed/>
    <w:pPr>
      <w:spacing w:before="0" w:after="57"/>
      <w:ind w:left="1134" w:hanging="0"/>
    </w:pPr>
    <w:rPr/>
  </w:style>
  <w:style w:type="paragraph" w:styleId="Tabledesmatiresniveau6">
    <w:name w:val="TOC 6"/>
    <w:basedOn w:val="Normal"/>
    <w:next w:val="Normal"/>
    <w:uiPriority w:val="39"/>
    <w:unhideWhenUsed/>
    <w:pPr>
      <w:spacing w:before="0" w:after="57"/>
      <w:ind w:left="1417" w:hanging="0"/>
    </w:pPr>
    <w:rPr/>
  </w:style>
  <w:style w:type="paragraph" w:styleId="Tabledesmatiresniveau7">
    <w:name w:val="TOC 7"/>
    <w:basedOn w:val="Normal"/>
    <w:next w:val="Normal"/>
    <w:uiPriority w:val="39"/>
    <w:unhideWhenUsed/>
    <w:pPr>
      <w:spacing w:before="0" w:after="57"/>
      <w:ind w:left="1701" w:hanging="0"/>
    </w:pPr>
    <w:rPr/>
  </w:style>
  <w:style w:type="paragraph" w:styleId="Tabledesmatiresniveau8">
    <w:name w:val="TOC 8"/>
    <w:basedOn w:val="Normal"/>
    <w:next w:val="Normal"/>
    <w:uiPriority w:val="39"/>
    <w:unhideWhenUsed/>
    <w:pPr>
      <w:spacing w:before="0" w:after="57"/>
      <w:ind w:left="1984" w:hanging="0"/>
    </w:pPr>
    <w:rPr/>
  </w:style>
  <w:style w:type="paragraph" w:styleId="Tabledesmatiresniveau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Arial" w:cs="Times New Roman" w:eastAsiaTheme="minorEastAsia"/>
      <w:color w:val="auto"/>
      <w:kern w:val="0"/>
      <w:sz w:val="22"/>
      <w:szCs w:val="22"/>
      <w:lang w:val="fr-FR" w:eastAsia="ja-JP" w:bidi="ar-SA"/>
    </w:rPr>
  </w:style>
  <w:style w:type="paragraph" w:styleId="Tableoffigures">
    <w:name w:val="table of figures"/>
    <w:basedOn w:val="Normal"/>
    <w:next w:val="Normal"/>
    <w:uiPriority w:val="99"/>
    <w:unhideWhenUsed/>
    <w:qFormat/>
    <w:pPr/>
    <w:rPr/>
  </w:style>
  <w:style w:type="paragraph" w:styleId="Titreprincipal">
    <w:name w:val="Title"/>
    <w:basedOn w:val="Normal"/>
    <w:next w:val="Corpsdetexte"/>
    <w:link w:val="TitreCar"/>
    <w:uiPriority w:val="10"/>
    <w:qFormat/>
    <w:pPr>
      <w:spacing w:before="0" w:after="300"/>
      <w:contextualSpacing/>
      <w:jc w:val="center"/>
    </w:pPr>
    <w:rPr>
      <w:rFonts w:ascii="baskerville semibold" w:hAnsi="baskerville semibold" w:eastAsia="Arial" w:cs="Arial" w:cstheme="majorBidi" w:eastAsiaTheme="majorEastAsia"/>
      <w:spacing w:val="5"/>
      <w:sz w:val="56"/>
      <w:szCs w:val="52"/>
    </w:rPr>
  </w:style>
  <w:style w:type="paragraph" w:styleId="Caption">
    <w:name w:val="caption"/>
    <w:basedOn w:val="Normal"/>
    <w:qFormat/>
    <w:pPr>
      <w:suppressLineNumbers/>
      <w:spacing w:before="120" w:after="120"/>
    </w:pPr>
    <w:rPr>
      <w:rFonts w:cs="FreeSans"/>
      <w:i/>
      <w:iCs/>
      <w:sz w:val="24"/>
      <w:szCs w:val="24"/>
    </w:rPr>
  </w:style>
  <w:style w:type="paragraph" w:styleId="Style11" w:customStyle="1">
    <w:name w:val="Style1"/>
    <w:basedOn w:val="Titre2"/>
    <w:qFormat/>
    <w:pPr/>
    <w:rPr>
      <w:bCs/>
    </w:rPr>
  </w:style>
  <w:style w:type="paragraph" w:styleId="Notedebasdepage">
    <w:name w:val="Footnote Text"/>
    <w:basedOn w:val="Normal"/>
    <w:link w:val="NotedebasdepageCar"/>
    <w:qFormat/>
    <w:pPr/>
    <w:rPr>
      <w:rFonts w:ascii="Garamond" w:hAnsi="Garamond"/>
    </w:rPr>
  </w:style>
  <w:style w:type="paragraph" w:styleId="Quote">
    <w:name w:val="Quote"/>
    <w:basedOn w:val="Normal"/>
    <w:next w:val="Normal"/>
    <w:link w:val="CitationCar"/>
    <w:qFormat/>
    <w:pPr>
      <w:spacing w:before="120" w:after="240"/>
      <w:ind w:left="709" w:hanging="0"/>
    </w:pPr>
    <w:rPr>
      <w:i/>
      <w:iCs/>
      <w:color w:val="000000" w:themeColor="text1"/>
    </w:rPr>
  </w:style>
  <w:style w:type="paragraph" w:styleId="ListParagraph">
    <w:name w:val="List Paragraph"/>
    <w:basedOn w:val="Normal"/>
    <w:link w:val="ParagraphedelisteCar"/>
    <w:uiPriority w:val="34"/>
    <w:qFormat/>
    <w:pPr>
      <w:widowControl w:val="false"/>
      <w:tabs>
        <w:tab w:val="clear" w:pos="708"/>
        <w:tab w:val="left" w:pos="2820" w:leader="none"/>
      </w:tabs>
      <w:spacing w:before="114" w:after="114"/>
      <w:contextualSpacing/>
    </w:pPr>
    <w:rPr>
      <w:rFonts w:eastAsia="Arial" w:cs="Times New Roman" w:eastAsiaTheme="minorEastAsia"/>
      <w:spacing w:val="-2"/>
      <w:sz w:val="24"/>
      <w:szCs w:val="18"/>
      <w:lang w:val="fr-CA" w:eastAsia="ja-JP"/>
    </w:rPr>
  </w:style>
  <w:style w:type="paragraph" w:styleId="Tabledesmatiresniveau2">
    <w:name w:val="TOC 2"/>
    <w:basedOn w:val="Normal"/>
    <w:next w:val="Normal"/>
    <w:uiPriority w:val="39"/>
    <w:unhideWhenUsed/>
    <w:qFormat/>
    <w:pPr>
      <w:ind w:left="240" w:hanging="0"/>
    </w:pPr>
    <w:rPr>
      <w:rFonts w:ascii="Cambria" w:hAnsi="Cambria" w:asciiTheme="minorHAnsi" w:hAnsiTheme="minorHAnsi"/>
      <w:b/>
    </w:rPr>
  </w:style>
  <w:style w:type="paragraph" w:styleId="NormalWeb">
    <w:name w:val="Normal (Web)"/>
    <w:basedOn w:val="Normal"/>
    <w:uiPriority w:val="99"/>
    <w:semiHidden/>
    <w:unhideWhenUsed/>
    <w:qFormat/>
    <w:pPr>
      <w:spacing w:beforeAutospacing="1" w:afterAutospacing="1"/>
      <w:jc w:val="left"/>
    </w:pPr>
    <w:rPr>
      <w:rFonts w:ascii="Times" w:hAnsi="Times" w:eastAsia="Arial" w:cs="Times New Roman" w:eastAsiaTheme="minorEastAsia"/>
      <w:sz w:val="20"/>
      <w:szCs w:val="20"/>
      <w:lang w:eastAsia="fr-FR"/>
    </w:rPr>
  </w:style>
  <w:style w:type="paragraph" w:styleId="Ox80721c8b29western" w:customStyle="1">
    <w:name w:val="ox-80721c8b29-western"/>
    <w:basedOn w:val="Normal"/>
    <w:qFormat/>
    <w:pPr>
      <w:spacing w:beforeAutospacing="1" w:afterAutospacing="1"/>
      <w:jc w:val="left"/>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922612"/>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GridLight">
    <w:name w:val="Table Grid Light"/>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eausimple1">
    <w:name w:val="Plain Table 1"/>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leausimple2">
    <w:name w:val="Plain Table 2"/>
    <w:basedOn w:val="Tableau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leausimple4">
    <w:name w:val="Plain Table 4"/>
    <w:basedOn w:val="TableauNormal"/>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leauGrille1Clair">
    <w:name w:val="Grid Table 1 Light"/>
    <w:basedOn w:val="Tableau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TableauNormal"/>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TableauNormal"/>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TableauNormal"/>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TableauNormal"/>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TableauNormal"/>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TableauNormal"/>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TableauGrille2">
    <w:name w:val="Grid Table 2"/>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3">
    <w:name w:val="Grid Table 3"/>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4">
    <w:name w:val="Grid Table 4"/>
    <w:basedOn w:val="Tableau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leauNormal"/>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TableauNormal"/>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TableauNormal"/>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TableauNormal"/>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TableauNormal"/>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TableauNormal"/>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TableauGrille7Couleur">
    <w:name w:val="Grid Table 7 Colorful"/>
    <w:basedOn w:val="Tableau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TableauNormal"/>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TableauNormal"/>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TableauNormal"/>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TableauNormal"/>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TableauNormal"/>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TableauNormal"/>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leauListe2">
    <w:name w:val="List Table 2"/>
    <w:basedOn w:val="Tableau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3">
    <w:name w:val="List Table 3"/>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leauNormal"/>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TableauNormal"/>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TableauNormal"/>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TableauNormal"/>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TableauNormal"/>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TableauNormal"/>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TableauListe4">
    <w:name w:val="List Table 4"/>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leauNormal"/>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TableauNormal"/>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TableauNormal"/>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TableauNormal"/>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TableauNormal"/>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TableauNormal"/>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TableauListe7Couleur">
    <w:name w:val="List Table 7 Colorful"/>
    <w:basedOn w:val="TableauNorma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leauNormal"/>
    <w:uiPriority w:val="99"/>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TableauNormal"/>
    <w:uiPriority w:val="99"/>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TableauNormal"/>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TableauNormal"/>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TableauNormal"/>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TableauNormal"/>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TableauNormal"/>
    <w:uiPriority w:val="99"/>
    <w:rPr>
      <w:lang w:eastAsia="fr-F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TableauNormal"/>
    <w:uiPriority w:val="99"/>
    <w:rPr>
      <w:lang w:eastAsia="fr-FR"/>
      <w:color w:val="404040"/>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TableauNormal"/>
    <w:uiPriority w:val="99"/>
    <w:rPr>
      <w:lang w:eastAsia="fr-FR"/>
      <w:color w:val="404040"/>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TableauNormal"/>
    <w:uiPriority w:val="99"/>
    <w:rPr>
      <w:lang w:eastAsia="fr-FR"/>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TableauNormal"/>
    <w:uiPriority w:val="99"/>
    <w:rPr>
      <w:lang w:eastAsia="fr-FR"/>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TableauNormal"/>
    <w:uiPriority w:val="99"/>
    <w:rPr>
      <w:lang w:eastAsia="fr-FR"/>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TableauNormal"/>
    <w:uiPriority w:val="99"/>
    <w:rPr>
      <w:lang w:eastAsia="fr-FR"/>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Tableau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TableauNormal"/>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TableauNormal"/>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TableauNormal"/>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TableauNormal"/>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TableauNormal"/>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TableauNormal"/>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Grilledutableau">
    <w:name w:val="Table Grid"/>
    <w:basedOn w:val="Tableau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cts-2021.sciencesconf.org/" TargetMode="External"/><Relationship Id="rId5" Type="http://schemas.openxmlformats.org/officeDocument/2006/relationships/hyperlink" Target="https://cts-2021.sciencesconf.org/" TargetMode="External"/><Relationship Id="rId6" Type="http://schemas.openxmlformats.org/officeDocument/2006/relationships/hyperlink" Target="mailto:christian.bourret@univ-eiffel.fr" TargetMode="External"/><Relationship Id="rId7" Type="http://schemas.openxmlformats.org/officeDocument/2006/relationships/hyperlink" Target="mailto:amos.david@univ-lorraine.fr" TargetMode="External"/><Relationship Id="rId8" Type="http://schemas.openxmlformats.org/officeDocument/2006/relationships/hyperlink" Target="mailto:nathalie.fabry@univ-eiffel.fr" TargetMode="External"/><Relationship Id="rId9" Type="http://schemas.openxmlformats.org/officeDocument/2006/relationships/hyperlink" Target="mailto:benoit.haberbusch@gendarmerie.interieur.gouv.fr" TargetMode="External"/><Relationship Id="rId10" Type="http://schemas.openxmlformats.org/officeDocument/2006/relationships/hyperlink" Target="mailto:nmoinet@poitiers.iae-france.fr" TargetMode="External"/><Relationship Id="rId11" Type="http://schemas.openxmlformats.org/officeDocument/2006/relationships/hyperlink" Target="mailto:sylvie.parrini-alemanno@lecnam.net" TargetMode="External"/><Relationship Id="rId12" Type="http://schemas.openxmlformats.org/officeDocument/2006/relationships/hyperlink" Target="mailto:msevero@parisnanterre.fr" TargetMode="External"/><Relationship Id="rId13" Type="http://schemas.openxmlformats.org/officeDocument/2006/relationships/hyperlink" Target="mailto:manuel.zacklad@lecnam.net" TargetMode="External"/><Relationship Id="rId14" Type="http://schemas.openxmlformats.org/officeDocument/2006/relationships/hyperlink" Target="mailto:sylvain.zeghni@univ-eiffel.fr" TargetMode="External"/><Relationship Id="rId15" Type="http://schemas.openxmlformats.org/officeDocument/2006/relationships/hyperlink" Target="mailto:claudia.da-re@univ-eiffel.fr" TargetMode="External"/><Relationship Id="rId16" Type="http://schemas.openxmlformats.org/officeDocument/2006/relationships/hyperlink" Target="mailto:Nathalie.fabry@univ-eiffel.fr" TargetMode="External"/><Relationship Id="rId17" Type="http://schemas.openxmlformats.org/officeDocument/2006/relationships/hyperlink" Target="mailto:frederique.hernandez@univ-eiffel.fr" TargetMode="External"/><Relationship Id="rId18" Type="http://schemas.openxmlformats.org/officeDocument/2006/relationships/hyperlink" Target="mailto:benoit.haberbusch@gendarmerie.interieur.gouv.fr" TargetMode="External"/><Relationship Id="rId19" Type="http://schemas.openxmlformats.org/officeDocument/2006/relationships/hyperlink" Target="mailto:thibaut.heckmann@gendarmerie.interieur.gouv.fr" TargetMode="External"/><Relationship Id="rId20" Type="http://schemas.openxmlformats.org/officeDocument/2006/relationships/hyperlink" Target="mailto:marie-christine.lacour0809@orange.fr" TargetMode="External"/><Relationship Id="rId21" Type="http://schemas.openxmlformats.org/officeDocument/2006/relationships/image" Target="media/image3.png"/><Relationship Id="rId22" Type="http://schemas.openxmlformats.org/officeDocument/2006/relationships/image" Target="media/image4.jpeg"/><Relationship Id="rId23" Type="http://schemas.openxmlformats.org/officeDocument/2006/relationships/image" Target="media/image5.jpeg"/><Relationship Id="rId24" Type="http://schemas.openxmlformats.org/officeDocument/2006/relationships/image" Target="media/image6.png"/><Relationship Id="rId25" Type="http://schemas.openxmlformats.org/officeDocument/2006/relationships/image" Target="media/image7.png"/><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Arial"/>
        <a:cs typeface="Arial"/>
      </a:majorFont>
      <a:minorFont>
        <a:latin typeface="Cambria"/>
        <a:ea typeface="Arial"/>
        <a:cs typeface="Arial"/>
      </a:minorFont>
    </a:fontScheme>
    <a:fmtScheme name="Bureau">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D60B-E48F-4330-AA90-FDA2537B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LibreOffice/6.4.7.2$Linux_X86_64 LibreOffice_project/40$Build-2</Application>
  <Pages>5</Pages>
  <Words>1630</Words>
  <Characters>9937</Characters>
  <CharactersWithSpaces>11507</CharactersWithSpaces>
  <Paragraphs>60</Paragraphs>
  <Company>UPEM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2022-03-31T10:12:00Z</dcterms:created>
  <dc:creator>NF</dc:creator>
  <dc:description/>
  <dc:language>fr-FR</dc:language>
  <cp:lastModifiedBy/>
  <dcterms:modified xsi:type="dcterms:W3CDTF">2022-09-20T10:12:38Z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UPEM</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